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CD10" w14:textId="62509367" w:rsidR="0067241D" w:rsidRPr="00DD5894" w:rsidRDefault="00A652E8" w:rsidP="00E65E4D">
      <w:pPr>
        <w:spacing w:line="276" w:lineRule="auto"/>
        <w:jc w:val="center"/>
        <w:rPr>
          <w:rFonts w:ascii="Helvetica Neue" w:hAnsi="Helvetica Neue"/>
          <w:b/>
          <w:bCs/>
        </w:rPr>
      </w:pPr>
      <w:r w:rsidRPr="00DD5894">
        <w:rPr>
          <w:rFonts w:ascii="Helvetica Neue" w:hAnsi="Helvetica Neue"/>
          <w:b/>
          <w:bCs/>
        </w:rPr>
        <w:t>Alison Su</w:t>
      </w:r>
      <w:r w:rsidR="00244D3D">
        <w:rPr>
          <w:rFonts w:ascii="Helvetica Neue" w:hAnsi="Helvetica Neue"/>
          <w:b/>
          <w:bCs/>
        </w:rPr>
        <w:t>hsun</w:t>
      </w:r>
      <w:r w:rsidRPr="00DD5894">
        <w:rPr>
          <w:rFonts w:ascii="Helvetica Neue" w:hAnsi="Helvetica Neue"/>
          <w:b/>
          <w:bCs/>
        </w:rPr>
        <w:t xml:space="preserve"> Liu</w:t>
      </w:r>
    </w:p>
    <w:p w14:paraId="3D11E229" w14:textId="4C08B060" w:rsidR="00A652E8" w:rsidRPr="00244D3D" w:rsidRDefault="00420441" w:rsidP="00420441">
      <w:pPr>
        <w:spacing w:line="276" w:lineRule="auto"/>
        <w:jc w:val="center"/>
        <w:rPr>
          <w:rFonts w:ascii="Helvetica Neue" w:hAnsi="Helvetica Neue"/>
          <w:sz w:val="20"/>
          <w:szCs w:val="20"/>
        </w:rPr>
      </w:pPr>
      <w:r w:rsidRPr="00244D3D">
        <w:rPr>
          <w:rFonts w:ascii="Helvetica Neue" w:hAnsi="Helvetica Neue"/>
          <w:sz w:val="20"/>
          <w:szCs w:val="20"/>
        </w:rPr>
        <w:t>CU Anschutz Medical Campus</w:t>
      </w:r>
    </w:p>
    <w:p w14:paraId="04632D78" w14:textId="2C0F549A" w:rsidR="00420441" w:rsidRPr="00244D3D" w:rsidRDefault="00420441" w:rsidP="00420441">
      <w:pPr>
        <w:spacing w:line="276" w:lineRule="auto"/>
        <w:jc w:val="center"/>
        <w:rPr>
          <w:rFonts w:ascii="Helvetica Neue" w:hAnsi="Helvetica Neue"/>
          <w:sz w:val="20"/>
          <w:szCs w:val="20"/>
        </w:rPr>
      </w:pPr>
      <w:r w:rsidRPr="00244D3D">
        <w:rPr>
          <w:rFonts w:ascii="Helvetica Neue" w:hAnsi="Helvetica Neue"/>
          <w:sz w:val="20"/>
          <w:szCs w:val="20"/>
        </w:rPr>
        <w:t>1675 North Aurora Ct, Aurora CO 80045</w:t>
      </w:r>
    </w:p>
    <w:p w14:paraId="632D681E" w14:textId="21E1FF22" w:rsidR="00420441" w:rsidRPr="00244D3D" w:rsidRDefault="00420441" w:rsidP="00420441">
      <w:pPr>
        <w:spacing w:line="276" w:lineRule="auto"/>
        <w:jc w:val="center"/>
        <w:rPr>
          <w:rFonts w:ascii="Helvetica Neue" w:hAnsi="Helvetica Neue"/>
          <w:sz w:val="20"/>
          <w:szCs w:val="20"/>
        </w:rPr>
      </w:pPr>
      <w:r w:rsidRPr="00244D3D">
        <w:rPr>
          <w:rFonts w:ascii="Helvetica Neue" w:hAnsi="Helvetica Neue"/>
          <w:sz w:val="20"/>
          <w:szCs w:val="20"/>
        </w:rPr>
        <w:t>Office: 720 848 5076 | Fax: 720 848 5099 | Email: suhsun.liu@cuanschutz.edu</w:t>
      </w:r>
    </w:p>
    <w:p w14:paraId="0B2797D9" w14:textId="77777777" w:rsidR="001C5E41" w:rsidRPr="00DD5894" w:rsidRDefault="001C5E41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3FB827C4" w14:textId="77777777" w:rsidR="00BF0059" w:rsidRPr="00DD5894" w:rsidRDefault="00BF0059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</w:p>
    <w:p w14:paraId="3A2F74FE" w14:textId="6221A4B2" w:rsidR="00A652E8" w:rsidRPr="00DD5894" w:rsidRDefault="00A652E8" w:rsidP="00E65E4D">
      <w:pPr>
        <w:spacing w:line="276" w:lineRule="auto"/>
        <w:rPr>
          <w:rFonts w:ascii="Helvetica Neue" w:hAnsi="Helvetica Neue"/>
          <w:b/>
          <w:bCs/>
          <w:sz w:val="22"/>
          <w:szCs w:val="22"/>
        </w:rPr>
      </w:pPr>
      <w:r w:rsidRPr="00DD5894">
        <w:rPr>
          <w:rFonts w:ascii="Helvetica Neue" w:hAnsi="Helvetica Neue"/>
          <w:b/>
          <w:bCs/>
          <w:sz w:val="22"/>
          <w:szCs w:val="22"/>
        </w:rPr>
        <w:t>Qualification Summary</w:t>
      </w:r>
    </w:p>
    <w:p w14:paraId="5F458A85" w14:textId="62FD624F" w:rsidR="00A652E8" w:rsidRPr="00DD5894" w:rsidRDefault="00AF42A3" w:rsidP="00E65E4D">
      <w:pPr>
        <w:pStyle w:val="ListParagraph"/>
        <w:numPr>
          <w:ilvl w:val="0"/>
          <w:numId w:val="1"/>
        </w:numPr>
        <w:spacing w:line="276" w:lineRule="auto"/>
        <w:rPr>
          <w:rFonts w:ascii="Helvetica Neue" w:hAnsi="Helvetica Neue"/>
          <w:sz w:val="22"/>
          <w:szCs w:val="22"/>
        </w:rPr>
      </w:pPr>
      <w:r w:rsidRPr="00DD5894">
        <w:rPr>
          <w:rFonts w:ascii="Helvetica Neue" w:hAnsi="Helvetica Neue"/>
          <w:sz w:val="22"/>
          <w:szCs w:val="22"/>
        </w:rPr>
        <w:t>Academic training in epidemiology</w:t>
      </w:r>
    </w:p>
    <w:p w14:paraId="72A5F7BD" w14:textId="264F8E04" w:rsidR="00420441" w:rsidRPr="00DD5894" w:rsidRDefault="00420441" w:rsidP="00E65E4D">
      <w:pPr>
        <w:pStyle w:val="ListParagraph"/>
        <w:numPr>
          <w:ilvl w:val="0"/>
          <w:numId w:val="1"/>
        </w:numPr>
        <w:spacing w:line="276" w:lineRule="auto"/>
        <w:rPr>
          <w:rFonts w:ascii="Helvetica Neue" w:hAnsi="Helvetica Neue"/>
          <w:sz w:val="22"/>
          <w:szCs w:val="22"/>
        </w:rPr>
      </w:pPr>
      <w:r w:rsidRPr="00DD5894">
        <w:rPr>
          <w:rFonts w:ascii="Helvetica Neue" w:hAnsi="Helvetica Neue"/>
          <w:sz w:val="22"/>
          <w:szCs w:val="22"/>
        </w:rPr>
        <w:t xml:space="preserve">Current research </w:t>
      </w:r>
      <w:r w:rsidR="00BF0059" w:rsidRPr="00DD5894">
        <w:rPr>
          <w:rFonts w:ascii="Helvetica Neue" w:hAnsi="Helvetica Neue"/>
          <w:sz w:val="22"/>
          <w:szCs w:val="22"/>
        </w:rPr>
        <w:t>interest</w:t>
      </w:r>
      <w:r w:rsidRPr="00DD5894">
        <w:rPr>
          <w:rFonts w:ascii="Helvetica Neue" w:hAnsi="Helvetica Neue"/>
          <w:sz w:val="22"/>
          <w:szCs w:val="22"/>
        </w:rPr>
        <w:t xml:space="preserve">: </w:t>
      </w:r>
      <w:r w:rsidR="00153300" w:rsidRPr="00DD5894">
        <w:rPr>
          <w:rFonts w:ascii="Helvetica Neue" w:hAnsi="Helvetica Neue"/>
          <w:sz w:val="22"/>
          <w:szCs w:val="22"/>
        </w:rPr>
        <w:t xml:space="preserve">evidence synthesis in ophthalmology, </w:t>
      </w:r>
      <w:r w:rsidRPr="00DD5894">
        <w:rPr>
          <w:rFonts w:ascii="Helvetica Neue" w:hAnsi="Helvetica Neue"/>
          <w:sz w:val="22"/>
          <w:szCs w:val="22"/>
        </w:rPr>
        <w:t>dry eye epidemiology</w:t>
      </w:r>
    </w:p>
    <w:p w14:paraId="2BDB8213" w14:textId="627F5079" w:rsidR="00AF42A3" w:rsidRPr="00DD5894" w:rsidRDefault="00BF0059" w:rsidP="00E65E4D">
      <w:pPr>
        <w:pStyle w:val="ListParagraph"/>
        <w:numPr>
          <w:ilvl w:val="0"/>
          <w:numId w:val="1"/>
        </w:numPr>
        <w:spacing w:line="276" w:lineRule="auto"/>
        <w:rPr>
          <w:rFonts w:ascii="Helvetica Neue" w:hAnsi="Helvetica Neue"/>
          <w:sz w:val="22"/>
          <w:szCs w:val="22"/>
        </w:rPr>
      </w:pPr>
      <w:r w:rsidRPr="00DD5894">
        <w:rPr>
          <w:rFonts w:ascii="Helvetica Neue" w:hAnsi="Helvetica Neue"/>
          <w:sz w:val="22"/>
          <w:szCs w:val="22"/>
        </w:rPr>
        <w:t>Research expertise</w:t>
      </w:r>
      <w:r w:rsidR="00AF42A3" w:rsidRPr="00DD5894">
        <w:rPr>
          <w:rFonts w:ascii="Helvetica Neue" w:hAnsi="Helvetica Neue"/>
          <w:sz w:val="22"/>
          <w:szCs w:val="22"/>
        </w:rPr>
        <w:t xml:space="preserve">: </w:t>
      </w:r>
      <w:r w:rsidR="00434A7D">
        <w:rPr>
          <w:rFonts w:ascii="Helvetica Neue" w:hAnsi="Helvetica Neue"/>
          <w:sz w:val="22"/>
          <w:szCs w:val="22"/>
        </w:rPr>
        <w:t>study design</w:t>
      </w:r>
      <w:r w:rsidR="00AF42A3" w:rsidRPr="00DD5894">
        <w:rPr>
          <w:rFonts w:ascii="Helvetica Neue" w:hAnsi="Helvetica Neue"/>
          <w:sz w:val="22"/>
          <w:szCs w:val="22"/>
        </w:rPr>
        <w:t>, statistical inference, evidence synthesis</w:t>
      </w:r>
    </w:p>
    <w:p w14:paraId="4A719988" w14:textId="493F0C65" w:rsidR="00AF42A3" w:rsidRPr="00DD5894" w:rsidRDefault="00AF42A3" w:rsidP="00E65E4D">
      <w:pPr>
        <w:pStyle w:val="ListParagraph"/>
        <w:numPr>
          <w:ilvl w:val="0"/>
          <w:numId w:val="1"/>
        </w:numPr>
        <w:spacing w:line="276" w:lineRule="auto"/>
        <w:rPr>
          <w:rFonts w:ascii="Helvetica Neue" w:hAnsi="Helvetica Neue"/>
          <w:sz w:val="22"/>
          <w:szCs w:val="22"/>
        </w:rPr>
      </w:pPr>
      <w:r w:rsidRPr="00DD5894">
        <w:rPr>
          <w:rFonts w:ascii="Helvetica Neue" w:hAnsi="Helvetica Neue"/>
          <w:sz w:val="22"/>
          <w:szCs w:val="22"/>
        </w:rPr>
        <w:t>Computation proficiency: Stata and R</w:t>
      </w:r>
    </w:p>
    <w:p w14:paraId="02462B71" w14:textId="08F9182F" w:rsidR="00AF42A3" w:rsidRPr="00DD5894" w:rsidRDefault="00AF42A3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158D499B" w14:textId="72C5C573" w:rsidR="00AF42A3" w:rsidRPr="00DD5894" w:rsidRDefault="00B77598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  <w:r w:rsidRPr="00DD5894">
        <w:rPr>
          <w:rFonts w:ascii="Helvetica Neue" w:hAnsi="Helvetica Neue"/>
          <w:b/>
          <w:bCs/>
          <w:sz w:val="21"/>
          <w:szCs w:val="21"/>
        </w:rPr>
        <w:t>Education</w:t>
      </w:r>
    </w:p>
    <w:p w14:paraId="5D2D9234" w14:textId="443954AE" w:rsidR="00303A25" w:rsidRPr="00DD5894" w:rsidRDefault="00303A25" w:rsidP="00BF0059">
      <w:pPr>
        <w:pStyle w:val="ListParagraph"/>
        <w:numPr>
          <w:ilvl w:val="0"/>
          <w:numId w:val="18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Johns Hopkins University, Baltimore MD (2009 - 2012)</w:t>
      </w:r>
    </w:p>
    <w:p w14:paraId="384EBE04" w14:textId="77777777" w:rsidR="00303A25" w:rsidRPr="00DD5894" w:rsidRDefault="00303A25" w:rsidP="00BF0059">
      <w:pPr>
        <w:spacing w:line="276" w:lineRule="auto"/>
        <w:ind w:firstLine="720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PhD, Infectious Disease Epidemiology</w:t>
      </w:r>
    </w:p>
    <w:p w14:paraId="073D2E66" w14:textId="2C8F9434" w:rsidR="00303A25" w:rsidRPr="00DD5894" w:rsidRDefault="00303A25" w:rsidP="00BF0059">
      <w:pPr>
        <w:pStyle w:val="ListParagraph"/>
        <w:numPr>
          <w:ilvl w:val="0"/>
          <w:numId w:val="18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Johns Hopkins University, Baltimore MD (2008 - 2009)</w:t>
      </w:r>
    </w:p>
    <w:p w14:paraId="5129A69E" w14:textId="77777777" w:rsidR="00303A25" w:rsidRPr="00DD5894" w:rsidRDefault="00303A25" w:rsidP="00BF0059">
      <w:pPr>
        <w:spacing w:line="276" w:lineRule="auto"/>
        <w:ind w:firstLine="720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Post-doctoral fellowship, HIV Epidemiology</w:t>
      </w:r>
    </w:p>
    <w:p w14:paraId="361C5D0A" w14:textId="08E47746" w:rsidR="00303A25" w:rsidRPr="00DD5894" w:rsidRDefault="00303A25" w:rsidP="00BF0059">
      <w:pPr>
        <w:pStyle w:val="ListParagraph"/>
        <w:numPr>
          <w:ilvl w:val="0"/>
          <w:numId w:val="18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Johns Hopkins University, Baltimore MD (2007 - 2008)</w:t>
      </w:r>
    </w:p>
    <w:p w14:paraId="792A2803" w14:textId="77777777" w:rsidR="00303A25" w:rsidRPr="00DD5894" w:rsidRDefault="00303A25" w:rsidP="00BF0059">
      <w:pPr>
        <w:spacing w:line="276" w:lineRule="auto"/>
        <w:ind w:firstLine="720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MPH, Adolescent Health</w:t>
      </w:r>
    </w:p>
    <w:p w14:paraId="08FE8ECA" w14:textId="56988192" w:rsidR="00303A25" w:rsidRPr="00DD5894" w:rsidRDefault="00303A25" w:rsidP="00BF0059">
      <w:pPr>
        <w:pStyle w:val="ListParagraph"/>
        <w:numPr>
          <w:ilvl w:val="0"/>
          <w:numId w:val="18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National Taiwan University, Taipei, Taiwan (1993 - 2000)</w:t>
      </w:r>
    </w:p>
    <w:p w14:paraId="28B89EF8" w14:textId="77777777" w:rsidR="00303A25" w:rsidRPr="00DD5894" w:rsidRDefault="00303A25" w:rsidP="00BF0059">
      <w:pPr>
        <w:spacing w:line="276" w:lineRule="auto"/>
        <w:ind w:firstLine="720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Medicine</w:t>
      </w:r>
    </w:p>
    <w:p w14:paraId="5733287C" w14:textId="3777EBCC" w:rsidR="00B77598" w:rsidRPr="00DD5894" w:rsidRDefault="00B77598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28E2E58E" w14:textId="3A6F7AB3" w:rsidR="00746E86" w:rsidRPr="00DD5894" w:rsidRDefault="00BF0059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  <w:r w:rsidRPr="00DD5894">
        <w:rPr>
          <w:rFonts w:ascii="Helvetica Neue" w:hAnsi="Helvetica Neue"/>
          <w:b/>
          <w:bCs/>
          <w:sz w:val="21"/>
          <w:szCs w:val="21"/>
        </w:rPr>
        <w:t>Professional</w:t>
      </w:r>
      <w:r w:rsidR="001831D9" w:rsidRPr="00DD5894">
        <w:rPr>
          <w:rFonts w:ascii="Helvetica Neue" w:hAnsi="Helvetica Neue"/>
          <w:b/>
          <w:bCs/>
          <w:sz w:val="21"/>
          <w:szCs w:val="21"/>
        </w:rPr>
        <w:t xml:space="preserve"> </w:t>
      </w:r>
      <w:r w:rsidR="00746E86" w:rsidRPr="00DD5894">
        <w:rPr>
          <w:rFonts w:ascii="Helvetica Neue" w:hAnsi="Helvetica Neue"/>
          <w:b/>
          <w:bCs/>
          <w:sz w:val="21"/>
          <w:szCs w:val="21"/>
        </w:rPr>
        <w:t>Experiences</w:t>
      </w:r>
    </w:p>
    <w:p w14:paraId="29EC53B5" w14:textId="7DD2AF43" w:rsidR="00746E86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JAMA Network Open (2020 – current)</w:t>
      </w:r>
    </w:p>
    <w:p w14:paraId="127EF5D3" w14:textId="4D7B4F3F" w:rsidR="001831D9" w:rsidRPr="00DD5894" w:rsidRDefault="002B59CC" w:rsidP="00E65E4D">
      <w:pPr>
        <w:spacing w:line="276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Contract s</w:t>
      </w:r>
      <w:r w:rsidR="001831D9" w:rsidRPr="00DD5894">
        <w:rPr>
          <w:rFonts w:ascii="Helvetica Neue" w:hAnsi="Helvetica Neue"/>
          <w:sz w:val="21"/>
          <w:szCs w:val="21"/>
        </w:rPr>
        <w:t>tatistical reviewer</w:t>
      </w:r>
    </w:p>
    <w:p w14:paraId="700296A0" w14:textId="2E59612D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35F1C84D" w14:textId="169A8FFC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National Yang Ming University</w:t>
      </w:r>
      <w:r w:rsidR="00211168" w:rsidRPr="00DD5894">
        <w:rPr>
          <w:rFonts w:ascii="Helvetica Neue" w:hAnsi="Helvetica Neue"/>
          <w:sz w:val="21"/>
          <w:szCs w:val="21"/>
        </w:rPr>
        <w:t>, Taipei, Taiwan</w:t>
      </w:r>
      <w:r w:rsidRPr="00DD5894">
        <w:rPr>
          <w:rFonts w:ascii="Helvetica Neue" w:hAnsi="Helvetica Neue"/>
          <w:sz w:val="21"/>
          <w:szCs w:val="21"/>
        </w:rPr>
        <w:t xml:space="preserve"> (2018 – current)</w:t>
      </w:r>
    </w:p>
    <w:p w14:paraId="254D9AEB" w14:textId="4C586A58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Adjunct assistant professor</w:t>
      </w:r>
    </w:p>
    <w:p w14:paraId="569A7571" w14:textId="7E986589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377C31C8" w14:textId="57D13C09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Far Eastern Memorial Hospital</w:t>
      </w:r>
      <w:r w:rsidR="00211168" w:rsidRPr="00DD5894">
        <w:rPr>
          <w:rFonts w:ascii="Helvetica Neue" w:hAnsi="Helvetica Neue"/>
          <w:sz w:val="21"/>
          <w:szCs w:val="21"/>
        </w:rPr>
        <w:t>, New Taipei City, Taiwan</w:t>
      </w:r>
      <w:r w:rsidRPr="00DD5894">
        <w:rPr>
          <w:rFonts w:ascii="Helvetica Neue" w:hAnsi="Helvetica Neue"/>
          <w:sz w:val="21"/>
          <w:szCs w:val="21"/>
        </w:rPr>
        <w:t xml:space="preserve"> (2018 – 2020)</w:t>
      </w:r>
    </w:p>
    <w:p w14:paraId="5A1FEF0C" w14:textId="56D0BF03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Attending physician</w:t>
      </w:r>
    </w:p>
    <w:p w14:paraId="5056433D" w14:textId="185E6D94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799E8840" w14:textId="3C0B1FA7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Chang Gung University</w:t>
      </w:r>
      <w:r w:rsidR="00211168" w:rsidRPr="00DD5894">
        <w:rPr>
          <w:rFonts w:ascii="Helvetica Neue" w:hAnsi="Helvetica Neue"/>
          <w:sz w:val="21"/>
          <w:szCs w:val="21"/>
        </w:rPr>
        <w:t>, Taoyuan, Taiwan</w:t>
      </w:r>
      <w:r w:rsidRPr="00DD5894">
        <w:rPr>
          <w:rFonts w:ascii="Helvetica Neue" w:hAnsi="Helvetica Neue"/>
          <w:sz w:val="21"/>
          <w:szCs w:val="21"/>
        </w:rPr>
        <w:t xml:space="preserve"> (2013 – 2018)</w:t>
      </w:r>
    </w:p>
    <w:p w14:paraId="0D6F0BB9" w14:textId="6D01B2D3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Assistant professor</w:t>
      </w:r>
    </w:p>
    <w:p w14:paraId="4255E6B9" w14:textId="74812E15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1AC4D9F9" w14:textId="11C40F48" w:rsidR="00AC2E40" w:rsidRPr="00DD5894" w:rsidRDefault="001831D9" w:rsidP="00AC2E40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Chang Gung Memorial Hospital</w:t>
      </w:r>
      <w:r w:rsidR="00211168" w:rsidRPr="00DD5894">
        <w:rPr>
          <w:rFonts w:ascii="Helvetica Neue" w:hAnsi="Helvetica Neue"/>
          <w:sz w:val="21"/>
          <w:szCs w:val="21"/>
        </w:rPr>
        <w:t>, Taoyuan, Taiwan</w:t>
      </w:r>
      <w:r w:rsidRPr="00DD5894">
        <w:rPr>
          <w:rFonts w:ascii="Helvetica Neue" w:hAnsi="Helvetica Neue"/>
          <w:sz w:val="21"/>
          <w:szCs w:val="21"/>
        </w:rPr>
        <w:t xml:space="preserve"> </w:t>
      </w:r>
      <w:r w:rsidR="00AC2E40" w:rsidRPr="00DD5894">
        <w:rPr>
          <w:rFonts w:ascii="Helvetica Neue" w:hAnsi="Helvetica Neue"/>
          <w:sz w:val="21"/>
          <w:szCs w:val="21"/>
        </w:rPr>
        <w:t>(2012 –2013)</w:t>
      </w:r>
    </w:p>
    <w:p w14:paraId="6A23BC9E" w14:textId="78655532" w:rsidR="001831D9" w:rsidRPr="00DD5894" w:rsidRDefault="001831D9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 xml:space="preserve">Attending physician </w:t>
      </w:r>
    </w:p>
    <w:p w14:paraId="3E534D46" w14:textId="77777777" w:rsidR="00AC2E40" w:rsidRPr="00DD5894" w:rsidRDefault="00AC2E40" w:rsidP="00E65E4D">
      <w:pPr>
        <w:spacing w:line="276" w:lineRule="auto"/>
        <w:rPr>
          <w:rFonts w:ascii="Helvetica Neue" w:hAnsi="Helvetica Neue"/>
          <w:sz w:val="21"/>
          <w:szCs w:val="21"/>
        </w:rPr>
      </w:pPr>
    </w:p>
    <w:p w14:paraId="3F2FEED7" w14:textId="18591CF2" w:rsidR="00E343D2" w:rsidRPr="00DD5894" w:rsidRDefault="00E343D2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  <w:r w:rsidRPr="00DD5894">
        <w:rPr>
          <w:rFonts w:ascii="Helvetica Neue" w:hAnsi="Helvetica Neue"/>
          <w:b/>
          <w:bCs/>
          <w:sz w:val="21"/>
          <w:szCs w:val="21"/>
        </w:rPr>
        <w:t>Teaching Experiences</w:t>
      </w:r>
    </w:p>
    <w:p w14:paraId="6548AC92" w14:textId="27C7AED4" w:rsidR="00E343D2" w:rsidRPr="00DD5894" w:rsidRDefault="00E343D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National Yang Ming University</w:t>
      </w:r>
      <w:r w:rsidR="00211168" w:rsidRPr="00DD5894">
        <w:rPr>
          <w:rFonts w:ascii="Helvetica Neue" w:hAnsi="Helvetica Neue"/>
          <w:sz w:val="21"/>
          <w:szCs w:val="21"/>
        </w:rPr>
        <w:t>, Taipei, Taiwan</w:t>
      </w:r>
      <w:r w:rsidRPr="00DD5894">
        <w:rPr>
          <w:rFonts w:ascii="Helvetica Neue" w:hAnsi="Helvetica Neue"/>
          <w:sz w:val="21"/>
          <w:szCs w:val="21"/>
        </w:rPr>
        <w:t xml:space="preserve"> (2018 – current)</w:t>
      </w:r>
    </w:p>
    <w:p w14:paraId="7C6A30B7" w14:textId="02FE22AE" w:rsidR="00E343D2" w:rsidRPr="00DD5894" w:rsidRDefault="00E343D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Adjunct assistant professor</w:t>
      </w:r>
    </w:p>
    <w:p w14:paraId="6A850C74" w14:textId="61603D5E" w:rsidR="00E343D2" w:rsidRPr="00DD5894" w:rsidRDefault="00E343D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- Infectious Disease Epidemiology, 2-credit, English, Spring Term</w:t>
      </w:r>
    </w:p>
    <w:p w14:paraId="3AC859AA" w14:textId="1D3DB33B" w:rsidR="00E343D2" w:rsidRPr="00DD5894" w:rsidRDefault="00E343D2" w:rsidP="00E65E4D">
      <w:pPr>
        <w:pStyle w:val="NormalWeb"/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lastRenderedPageBreak/>
        <w:t>Chang Gung Memorial Hospital</w:t>
      </w:r>
      <w:r w:rsidR="00211168" w:rsidRPr="00DD5894">
        <w:rPr>
          <w:rFonts w:ascii="Helvetica Neue" w:hAnsi="Helvetica Neue"/>
          <w:sz w:val="21"/>
          <w:szCs w:val="21"/>
        </w:rPr>
        <w:t>, Taoyuan, Taiwan</w:t>
      </w:r>
      <w:r w:rsidRPr="00DD5894">
        <w:rPr>
          <w:rFonts w:ascii="Helvetica Neue" w:hAnsi="Helvetica Neue"/>
          <w:sz w:val="21"/>
          <w:szCs w:val="21"/>
        </w:rPr>
        <w:t xml:space="preserve"> (2012</w:t>
      </w:r>
      <w:r w:rsidR="00860E42" w:rsidRPr="00DD5894">
        <w:rPr>
          <w:rFonts w:ascii="Helvetica Neue" w:hAnsi="Helvetica Neue"/>
          <w:sz w:val="21"/>
          <w:szCs w:val="21"/>
        </w:rPr>
        <w:t xml:space="preserve"> – </w:t>
      </w:r>
      <w:r w:rsidRPr="00DD5894">
        <w:rPr>
          <w:rFonts w:ascii="Helvetica Neue" w:hAnsi="Helvetica Neue"/>
          <w:sz w:val="21"/>
          <w:szCs w:val="21"/>
        </w:rPr>
        <w:t>2016)</w:t>
      </w:r>
      <w:r w:rsidRPr="00DD5894">
        <w:rPr>
          <w:rFonts w:ascii="Helvetica Neue" w:hAnsi="Helvetica Neue"/>
          <w:sz w:val="21"/>
          <w:szCs w:val="21"/>
        </w:rPr>
        <w:br/>
        <w:t>Clinical assistant professor</w:t>
      </w:r>
      <w:r w:rsidRPr="00DD5894">
        <w:rPr>
          <w:rFonts w:ascii="Helvetica Neue" w:hAnsi="Helvetica Neue"/>
          <w:sz w:val="21"/>
          <w:szCs w:val="21"/>
        </w:rPr>
        <w:br/>
        <w:t>- Introductory- and Advanced-Level Research Methods; Evidence-based Medicine/ Public Health</w:t>
      </w:r>
      <w:r w:rsidR="00860E42" w:rsidRPr="00DD5894">
        <w:rPr>
          <w:rFonts w:ascii="Helvetica Neue" w:hAnsi="Helvetica Neue"/>
          <w:sz w:val="21"/>
          <w:szCs w:val="21"/>
        </w:rPr>
        <w:t>, non-credit</w:t>
      </w:r>
      <w:r w:rsidR="00297B74" w:rsidRPr="00DD5894">
        <w:rPr>
          <w:rFonts w:ascii="Helvetica Neue" w:hAnsi="Helvetica Neue"/>
          <w:sz w:val="21"/>
          <w:szCs w:val="21"/>
        </w:rPr>
        <w:t xml:space="preserve"> CME</w:t>
      </w:r>
      <w:r w:rsidR="00860E42" w:rsidRPr="00DD5894">
        <w:rPr>
          <w:rFonts w:ascii="Helvetica Neue" w:hAnsi="Helvetica Neue"/>
          <w:sz w:val="21"/>
          <w:szCs w:val="21"/>
        </w:rPr>
        <w:t>, Chinese, monthly seminar</w:t>
      </w:r>
    </w:p>
    <w:p w14:paraId="2DB83DFE" w14:textId="032759E7" w:rsidR="00E343D2" w:rsidRPr="00DD5894" w:rsidRDefault="00E343D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Johns Hopkins Bloomberg School of Public Health</w:t>
      </w:r>
      <w:r w:rsidR="00211168" w:rsidRPr="00DD5894">
        <w:rPr>
          <w:rFonts w:ascii="Helvetica Neue" w:hAnsi="Helvetica Neue"/>
          <w:sz w:val="21"/>
          <w:szCs w:val="21"/>
        </w:rPr>
        <w:t>, Baltimore MD</w:t>
      </w:r>
      <w:r w:rsidRPr="00DD5894">
        <w:rPr>
          <w:rFonts w:ascii="Helvetica Neue" w:hAnsi="Helvetica Neue"/>
          <w:sz w:val="21"/>
          <w:szCs w:val="21"/>
        </w:rPr>
        <w:t xml:space="preserve"> (2008 </w:t>
      </w:r>
      <w:r w:rsidR="00860E42" w:rsidRPr="00DD5894">
        <w:rPr>
          <w:rFonts w:ascii="Helvetica Neue" w:hAnsi="Helvetica Neue"/>
          <w:sz w:val="21"/>
          <w:szCs w:val="21"/>
        </w:rPr>
        <w:t xml:space="preserve">– </w:t>
      </w:r>
      <w:r w:rsidRPr="00DD5894">
        <w:rPr>
          <w:rFonts w:ascii="Helvetica Neue" w:hAnsi="Helvetica Neue"/>
          <w:sz w:val="21"/>
          <w:szCs w:val="21"/>
        </w:rPr>
        <w:t>2010)</w:t>
      </w:r>
    </w:p>
    <w:p w14:paraId="6B212455" w14:textId="21822DCB" w:rsidR="00860E42" w:rsidRPr="00DD5894" w:rsidRDefault="00860E4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Student teaching assistant</w:t>
      </w:r>
    </w:p>
    <w:p w14:paraId="61C86BF9" w14:textId="174BE6A9" w:rsidR="00860E42" w:rsidRPr="00DD5894" w:rsidRDefault="00860E4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 xml:space="preserve">- Diagnostic, prediction, and screening methods in clinical research (5-credit) </w:t>
      </w:r>
    </w:p>
    <w:p w14:paraId="1D5532A1" w14:textId="06D43DC1" w:rsidR="00860E42" w:rsidRPr="00DD5894" w:rsidRDefault="00860E4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- Systematic review and meta-analysis (5-credit)</w:t>
      </w:r>
      <w:r w:rsidRPr="00DD5894">
        <w:rPr>
          <w:rFonts w:ascii="Helvetica Neue" w:hAnsi="Helvetica Neue"/>
          <w:sz w:val="21"/>
          <w:szCs w:val="21"/>
        </w:rPr>
        <w:br/>
        <w:t>- Data analysis workshops (in Stata) I &amp; II</w:t>
      </w:r>
      <w:r w:rsidR="00672AC9" w:rsidRPr="00DD5894">
        <w:rPr>
          <w:rFonts w:ascii="Helvetica Neue" w:hAnsi="Helvetica Neue"/>
          <w:sz w:val="21"/>
          <w:szCs w:val="21"/>
        </w:rPr>
        <w:t xml:space="preserve"> (4-credit)</w:t>
      </w:r>
      <w:r w:rsidRPr="00DD5894">
        <w:rPr>
          <w:rFonts w:ascii="Helvetica Neue" w:hAnsi="Helvetica Neue"/>
          <w:sz w:val="21"/>
          <w:szCs w:val="21"/>
        </w:rPr>
        <w:br/>
        <w:t>- Applied Epidemiology I (</w:t>
      </w:r>
      <w:r w:rsidR="00672AC9" w:rsidRPr="00DD5894">
        <w:rPr>
          <w:rFonts w:ascii="Helvetica Neue" w:hAnsi="Helvetica Neue"/>
          <w:sz w:val="21"/>
          <w:szCs w:val="21"/>
        </w:rPr>
        <w:t>4</w:t>
      </w:r>
      <w:r w:rsidRPr="00DD5894">
        <w:rPr>
          <w:rFonts w:ascii="Helvetica Neue" w:hAnsi="Helvetica Neue"/>
          <w:sz w:val="21"/>
          <w:szCs w:val="21"/>
        </w:rPr>
        <w:t xml:space="preserve">-credit) </w:t>
      </w:r>
    </w:p>
    <w:p w14:paraId="1A238F01" w14:textId="306A5975" w:rsidR="00860E42" w:rsidRPr="00DD5894" w:rsidRDefault="00860E42" w:rsidP="00E65E4D">
      <w:p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- Principle of Epidemiology (5-credit)</w:t>
      </w:r>
    </w:p>
    <w:p w14:paraId="74A79526" w14:textId="5C11CCA3" w:rsidR="001C5E41" w:rsidRPr="00DD5894" w:rsidRDefault="001C5E41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</w:p>
    <w:p w14:paraId="31E4708B" w14:textId="77777777" w:rsidR="001C5E41" w:rsidRPr="00DD5894" w:rsidRDefault="001C5E41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</w:p>
    <w:p w14:paraId="273EB013" w14:textId="2CEA8386" w:rsidR="00EE6956" w:rsidRPr="00DD5894" w:rsidRDefault="00EE6956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  <w:r w:rsidRPr="00DD5894">
        <w:rPr>
          <w:rFonts w:ascii="Helvetica Neue" w:hAnsi="Helvetica Neue"/>
          <w:b/>
          <w:bCs/>
          <w:sz w:val="21"/>
          <w:szCs w:val="21"/>
        </w:rPr>
        <w:t>Research Awards</w:t>
      </w:r>
    </w:p>
    <w:p w14:paraId="245ECBF9" w14:textId="6939437D" w:rsidR="00EE6956" w:rsidRPr="00DD5894" w:rsidRDefault="00EE6956" w:rsidP="00E65E4D">
      <w:pPr>
        <w:spacing w:line="276" w:lineRule="auto"/>
        <w:rPr>
          <w:rFonts w:ascii="Helvetica Neue" w:hAnsi="Helvetica Neue"/>
          <w:b/>
          <w:bCs/>
          <w:sz w:val="21"/>
          <w:szCs w:val="21"/>
        </w:rPr>
      </w:pPr>
      <w:r w:rsidRPr="00DD5894">
        <w:rPr>
          <w:rFonts w:ascii="Helvetica Neue" w:hAnsi="Helvetica Neue"/>
          <w:b/>
          <w:bCs/>
          <w:sz w:val="21"/>
          <w:szCs w:val="21"/>
        </w:rPr>
        <w:t xml:space="preserve">Extramural </w:t>
      </w:r>
      <w:r w:rsidR="00A1579C">
        <w:rPr>
          <w:rFonts w:ascii="Helvetica Neue" w:hAnsi="Helvetica Neue"/>
          <w:b/>
          <w:bCs/>
          <w:sz w:val="21"/>
          <w:szCs w:val="21"/>
        </w:rPr>
        <w:t>(R21-equivalent</w:t>
      </w:r>
      <w:r w:rsidR="00D22BD3">
        <w:rPr>
          <w:rFonts w:ascii="Helvetica Neue" w:hAnsi="Helvetica Neue"/>
          <w:b/>
          <w:bCs/>
          <w:sz w:val="21"/>
          <w:szCs w:val="21"/>
        </w:rPr>
        <w:t xml:space="preserve"> grant award</w:t>
      </w:r>
      <w:r w:rsidR="00A1579C">
        <w:rPr>
          <w:rFonts w:ascii="Helvetica Neue" w:hAnsi="Helvetica Neue"/>
          <w:b/>
          <w:bCs/>
          <w:sz w:val="21"/>
          <w:szCs w:val="21"/>
        </w:rPr>
        <w:t>)</w:t>
      </w:r>
    </w:p>
    <w:p w14:paraId="3C024F94" w14:textId="7616C3D5" w:rsidR="00EE6956" w:rsidRPr="00DD5894" w:rsidRDefault="00EE6956" w:rsidP="00E65E4D">
      <w:pPr>
        <w:pStyle w:val="ListParagraph"/>
        <w:numPr>
          <w:ilvl w:val="0"/>
          <w:numId w:val="3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Ministry of Science and Technology</w:t>
      </w:r>
      <w:r w:rsidR="00211168" w:rsidRPr="00DD5894">
        <w:rPr>
          <w:rFonts w:ascii="Helvetica Neue" w:hAnsi="Helvetica Neue"/>
          <w:sz w:val="21"/>
          <w:szCs w:val="21"/>
        </w:rPr>
        <w:t>, Taiwan</w:t>
      </w:r>
      <w:r w:rsidRPr="00DD5894">
        <w:rPr>
          <w:rFonts w:ascii="Helvetica Neue" w:hAnsi="Helvetica Neue"/>
          <w:sz w:val="21"/>
          <w:szCs w:val="21"/>
        </w:rPr>
        <w:t xml:space="preserve"> (2018 – 2019)</w:t>
      </w:r>
    </w:p>
    <w:p w14:paraId="61991A6C" w14:textId="11A44346" w:rsidR="00EE6956" w:rsidRPr="00DD5894" w:rsidRDefault="00EE6956" w:rsidP="00E65E4D">
      <w:pPr>
        <w:pStyle w:val="ListParagraph"/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Changes in (predicted) microbial functions during treatment in psoriasis patients; role: </w:t>
      </w:r>
      <w:r w:rsidR="00B34E28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P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rincipal investigator</w:t>
      </w:r>
    </w:p>
    <w:p w14:paraId="758501A6" w14:textId="296E9165" w:rsidR="00EE6956" w:rsidRPr="00DD5894" w:rsidRDefault="00EE6956" w:rsidP="00E65E4D">
      <w:pPr>
        <w:pStyle w:val="ListParagraph"/>
        <w:numPr>
          <w:ilvl w:val="0"/>
          <w:numId w:val="3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Ministry of Science and Technology</w:t>
      </w:r>
      <w:r w:rsidR="00211168" w:rsidRPr="00DD5894">
        <w:rPr>
          <w:rFonts w:ascii="Helvetica Neue" w:hAnsi="Helvetica Neue"/>
          <w:sz w:val="21"/>
          <w:szCs w:val="21"/>
        </w:rPr>
        <w:t>, Taiwan</w:t>
      </w:r>
      <w:r w:rsidRPr="00DD5894">
        <w:rPr>
          <w:rFonts w:ascii="Helvetica Neue" w:hAnsi="Helvetica Neue"/>
          <w:sz w:val="21"/>
          <w:szCs w:val="21"/>
        </w:rPr>
        <w:t xml:space="preserve"> (2016 –2018)</w:t>
      </w:r>
    </w:p>
    <w:p w14:paraId="56392E93" w14:textId="0EDAF854" w:rsidR="00EE6956" w:rsidRPr="00DD5894" w:rsidRDefault="00EE6956" w:rsidP="00E65E4D">
      <w:pPr>
        <w:spacing w:after="60" w:line="276" w:lineRule="auto"/>
        <w:ind w:left="72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 cell repertoire before and after biologics treatment in psoriasis patients; role: </w:t>
      </w:r>
      <w:r w:rsidR="00B34E28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P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rincipal investigator</w:t>
      </w:r>
    </w:p>
    <w:p w14:paraId="6C8EB033" w14:textId="6E9CF11C" w:rsidR="00EE6956" w:rsidRPr="00DD5894" w:rsidRDefault="00EE6956" w:rsidP="00E65E4D">
      <w:pPr>
        <w:pStyle w:val="ListParagraph"/>
        <w:numPr>
          <w:ilvl w:val="0"/>
          <w:numId w:val="3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Ministry of Science and Technology</w:t>
      </w:r>
      <w:r w:rsidR="00211168" w:rsidRPr="00DD5894">
        <w:rPr>
          <w:rFonts w:ascii="Helvetica Neue" w:hAnsi="Helvetica Neue"/>
          <w:sz w:val="21"/>
          <w:szCs w:val="21"/>
        </w:rPr>
        <w:t>, Taiwan</w:t>
      </w:r>
      <w:r w:rsidRPr="00DD5894">
        <w:rPr>
          <w:rFonts w:ascii="Helvetica Neue" w:hAnsi="Helvetica Neue"/>
          <w:sz w:val="21"/>
          <w:szCs w:val="21"/>
        </w:rPr>
        <w:t xml:space="preserve"> (2015 –2016)</w:t>
      </w:r>
    </w:p>
    <w:p w14:paraId="03B98F70" w14:textId="3CE02752" w:rsidR="00EE6956" w:rsidRPr="00DD5894" w:rsidRDefault="00EE6956" w:rsidP="00E65E4D">
      <w:pPr>
        <w:spacing w:after="60" w:line="276" w:lineRule="auto"/>
        <w:ind w:left="72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Risk for staphylococcal colonization on skin lesions before and after biologics treatment in psoriasis patients; role: </w:t>
      </w:r>
      <w:r w:rsidR="00B34E28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P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rincipal investigator</w:t>
      </w:r>
    </w:p>
    <w:p w14:paraId="167C2CA2" w14:textId="0040A1D7" w:rsidR="00B410A6" w:rsidRPr="00DD5894" w:rsidRDefault="00B410A6" w:rsidP="00E65E4D">
      <w:pPr>
        <w:pStyle w:val="ListParagraph"/>
        <w:numPr>
          <w:ilvl w:val="0"/>
          <w:numId w:val="3"/>
        </w:numPr>
        <w:spacing w:line="276" w:lineRule="auto"/>
        <w:rPr>
          <w:rFonts w:ascii="Helvetica Neue" w:hAnsi="Helvetica Neue"/>
          <w:sz w:val="21"/>
          <w:szCs w:val="21"/>
        </w:rPr>
      </w:pPr>
      <w:r w:rsidRPr="00DD5894">
        <w:rPr>
          <w:rFonts w:ascii="Helvetica Neue" w:hAnsi="Helvetica Neue"/>
          <w:sz w:val="21"/>
          <w:szCs w:val="21"/>
        </w:rPr>
        <w:t>Ministry of Science and Technology</w:t>
      </w:r>
      <w:r w:rsidR="00211168" w:rsidRPr="00DD5894">
        <w:rPr>
          <w:rFonts w:ascii="Helvetica Neue" w:hAnsi="Helvetica Neue"/>
          <w:sz w:val="21"/>
          <w:szCs w:val="21"/>
        </w:rPr>
        <w:t>, Taiwan</w:t>
      </w:r>
      <w:r w:rsidRPr="00DD5894">
        <w:rPr>
          <w:rFonts w:ascii="Helvetica Neue" w:hAnsi="Helvetica Neue"/>
          <w:sz w:val="21"/>
          <w:szCs w:val="21"/>
        </w:rPr>
        <w:t xml:space="preserve"> (2013 –2015)</w:t>
      </w:r>
    </w:p>
    <w:p w14:paraId="34C8F521" w14:textId="6CF1BACD" w:rsidR="00B410A6" w:rsidRPr="00DD5894" w:rsidRDefault="00B410A6" w:rsidP="00E65E4D">
      <w:pPr>
        <w:spacing w:after="60" w:line="276" w:lineRule="auto"/>
        <w:ind w:left="72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Risk for staphylococcal colonization on skin lesions before and after biologics treatment in psoriasis patients; role: </w:t>
      </w:r>
      <w:r w:rsidR="00B34E28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P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rincipal investigator</w:t>
      </w:r>
    </w:p>
    <w:p w14:paraId="2CCE2DEE" w14:textId="7CC4DA39" w:rsidR="00B410A6" w:rsidRPr="00DD5894" w:rsidRDefault="00B410A6" w:rsidP="00E65E4D">
      <w:p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26F4C9F3" w14:textId="74DEFA3C" w:rsidR="00B410A6" w:rsidRPr="00DD5894" w:rsidRDefault="00B410A6" w:rsidP="00E65E4D">
      <w:pPr>
        <w:spacing w:after="60" w:line="276" w:lineRule="auto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Intramural</w:t>
      </w:r>
    </w:p>
    <w:p w14:paraId="2932C656" w14:textId="34B87D0D" w:rsidR="00B410A6" w:rsidRPr="00DD5894" w:rsidRDefault="00B410A6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Far Eastern Memorial Hospital</w:t>
      </w:r>
      <w:r w:rsidR="00F22087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New Taipei City, Taiwan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(2020)</w:t>
      </w:r>
    </w:p>
    <w:p w14:paraId="0FC5E17C" w14:textId="24A22DEC" w:rsidR="00B410A6" w:rsidRPr="00DD5894" w:rsidRDefault="00B410A6" w:rsidP="00E65E4D">
      <w:pPr>
        <w:pStyle w:val="ListParagraph"/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Validation of Chinese Eppendorf Itch Questionnaire in non-dermatological patients in the outpatient setting; role: Co-investigator</w:t>
      </w:r>
      <w:r w:rsidR="00B34E28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</w:t>
      </w:r>
    </w:p>
    <w:p w14:paraId="26CADCDF" w14:textId="311DBA17" w:rsidR="00B34E28" w:rsidRPr="00DD5894" w:rsidRDefault="00B34E28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Chang Gung Memorial Hospital</w:t>
      </w:r>
      <w:r w:rsidR="00F22087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Taoyuan, Taiwan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(2016 –2018)</w:t>
      </w:r>
    </w:p>
    <w:p w14:paraId="4C1F07D5" w14:textId="1A3300D4" w:rsidR="00B410A6" w:rsidRPr="00DD5894" w:rsidRDefault="00B34E28" w:rsidP="00E65E4D">
      <w:pPr>
        <w:pStyle w:val="ListParagraph"/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The rebuilt skin microbiome during wound healing in burn patients; role: Principal investigator</w:t>
      </w:r>
    </w:p>
    <w:p w14:paraId="5BDF1245" w14:textId="223C097F" w:rsidR="00B34E28" w:rsidRPr="00DD5894" w:rsidRDefault="00B34E28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Chang Gung Memorial Hospital</w:t>
      </w:r>
      <w:r w:rsidR="00F22087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Taoyuan, Taiwan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(2015 –2016)</w:t>
      </w:r>
    </w:p>
    <w:p w14:paraId="17CCB943" w14:textId="4F0DD554" w:rsidR="00B34E28" w:rsidRPr="00DD5894" w:rsidRDefault="00B34E28" w:rsidP="00E65E4D">
      <w:pPr>
        <w:pStyle w:val="ListParagraph"/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The skin innate immune responses and skin microbiome in psoriasis patients under systemic treatment; role: Principal investigator</w:t>
      </w:r>
    </w:p>
    <w:p w14:paraId="1ACFE975" w14:textId="180703C2" w:rsidR="00B34E28" w:rsidRPr="00DD5894" w:rsidRDefault="00B34E28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Chang Gung Memorial Hospital</w:t>
      </w:r>
      <w:r w:rsidR="00F22087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Taoyuan, Taiwan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(2013 –2015)</w:t>
      </w:r>
    </w:p>
    <w:p w14:paraId="353BF12A" w14:textId="0BDFCDEF" w:rsidR="00B34E28" w:rsidRPr="00DD5894" w:rsidRDefault="00B34E28" w:rsidP="00E65E4D">
      <w:pPr>
        <w:pStyle w:val="ListParagraph"/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Project: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Menstrual cycle and nasal carriage of Staphylococcus aureus in healthy carriers; role: Principal investigator</w:t>
      </w:r>
    </w:p>
    <w:p w14:paraId="77B2A783" w14:textId="77777777" w:rsidR="00A1579C" w:rsidRDefault="00A1579C" w:rsidP="00E65E4D">
      <w:pPr>
        <w:spacing w:after="60" w:line="276" w:lineRule="auto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</w:p>
    <w:p w14:paraId="6E6459A4" w14:textId="6027F36E" w:rsidR="00B34E28" w:rsidRPr="00DD5894" w:rsidRDefault="00C56736" w:rsidP="00E65E4D">
      <w:pPr>
        <w:spacing w:after="60" w:line="276" w:lineRule="auto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lastRenderedPageBreak/>
        <w:t>Peer Review Activities</w:t>
      </w:r>
    </w:p>
    <w:p w14:paraId="1F3873C4" w14:textId="77777777" w:rsidR="00C56736" w:rsidRPr="00DD5894" w:rsidRDefault="00C56736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Annals of Internal Medicine</w:t>
      </w:r>
    </w:p>
    <w:p w14:paraId="3B4308D7" w14:textId="77777777" w:rsidR="002F5182" w:rsidRDefault="002F5182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Ophthalmology</w:t>
      </w:r>
    </w:p>
    <w:p w14:paraId="2881C23E" w14:textId="640AAF11" w:rsidR="002B57AA" w:rsidRDefault="002B57AA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JAMA Ophthalmology</w:t>
      </w:r>
    </w:p>
    <w:p w14:paraId="3B094CFC" w14:textId="7A90E6C9" w:rsidR="002B57AA" w:rsidRPr="00DD5894" w:rsidRDefault="002B57AA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Computational and Structural Biotechnology Journal</w:t>
      </w:r>
    </w:p>
    <w:p w14:paraId="53BDD8B4" w14:textId="09EAF848" w:rsidR="00C56736" w:rsidRPr="00DD5894" w:rsidRDefault="00C56736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American Journal of Epidemiology</w:t>
      </w:r>
    </w:p>
    <w:p w14:paraId="352F5B91" w14:textId="77777777" w:rsidR="00C56736" w:rsidRPr="00DD5894" w:rsidRDefault="00C56736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American Journal of Public Health</w:t>
      </w:r>
    </w:p>
    <w:p w14:paraId="74D88BE9" w14:textId="77777777" w:rsidR="00C56736" w:rsidRPr="00DD5894" w:rsidRDefault="00C56736" w:rsidP="00E65E4D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Journal of Epidemiology and Community Health</w:t>
      </w:r>
    </w:p>
    <w:p w14:paraId="42D72D1C" w14:textId="77777777" w:rsidR="00227E89" w:rsidRPr="00DD5894" w:rsidRDefault="00C56736" w:rsidP="00227E89">
      <w:pPr>
        <w:pStyle w:val="ListParagraph"/>
        <w:numPr>
          <w:ilvl w:val="0"/>
          <w:numId w:val="3"/>
        </w:numPr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Others: AIDS Care, BMJ Sexual &amp; Reproductive Health, Complementary Therapies in Medicine, Dermatologica Sinica, Journal of Medical Microbiology, Journal of Women’s Health, PLOS One, Sexually Transmitted Infections, Trials</w:t>
      </w:r>
      <w:r w:rsidR="00AC2E40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Frontiers in Medicine</w:t>
      </w:r>
      <w:r w:rsidR="00227E8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</w:t>
      </w:r>
      <w:r w:rsidR="00227E89"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Journal of European Association of Dermatology and Venereology</w:t>
      </w:r>
    </w:p>
    <w:p w14:paraId="677D1807" w14:textId="53EA65C2" w:rsidR="00C56736" w:rsidRPr="00DD5894" w:rsidRDefault="00C56736" w:rsidP="00227E89">
      <w:pPr>
        <w:pStyle w:val="ListParagraph"/>
        <w:spacing w:after="60" w:line="276" w:lineRule="auto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78694A0F" w14:textId="62FA6945" w:rsidR="00026D73" w:rsidRDefault="00026D73" w:rsidP="00E65E4D">
      <w:pPr>
        <w:spacing w:after="60" w:line="276" w:lineRule="auto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Peer-reviewed Publications</w:t>
      </w:r>
    </w:p>
    <w:p w14:paraId="3BA56E55" w14:textId="418329E4" w:rsidR="00A1579C" w:rsidRPr="00A1579C" w:rsidRDefault="00A1579C" w:rsidP="00E65E4D">
      <w:pPr>
        <w:spacing w:after="60" w:line="276" w:lineRule="auto"/>
        <w:rPr>
          <w:rFonts w:ascii="Helvetica Neue" w:hAnsi="Helvetica Neue" w:cs="Times New Roman"/>
          <w:b/>
          <w:bCs/>
          <w:i/>
          <w:iCs/>
          <w:color w:val="000000" w:themeColor="text1"/>
          <w:sz w:val="21"/>
          <w:szCs w:val="21"/>
          <w:u w:color="000000" w:themeColor="text1"/>
        </w:rPr>
      </w:pPr>
      <w:r w:rsidRPr="00A1579C">
        <w:rPr>
          <w:rFonts w:ascii="Helvetica Neue" w:hAnsi="Helvetica Neue" w:cs="Times New Roman"/>
          <w:b/>
          <w:bCs/>
          <w:i/>
          <w:iCs/>
          <w:color w:val="000000" w:themeColor="text1"/>
          <w:sz w:val="21"/>
          <w:szCs w:val="21"/>
          <w:u w:color="000000" w:themeColor="text1"/>
        </w:rPr>
        <w:t>Ophthalmology</w:t>
      </w:r>
    </w:p>
    <w:p w14:paraId="75EE4D6B" w14:textId="031BFC6A" w:rsidR="0060771C" w:rsidRDefault="0060771C" w:rsidP="00DC3FAC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60771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Fung THM, </w:t>
      </w:r>
      <w:proofErr w:type="spellStart"/>
      <w:r w:rsidRPr="0060771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Yim</w:t>
      </w:r>
      <w:proofErr w:type="spellEnd"/>
      <w:r w:rsidRPr="0060771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TW, Lois N, Wright DM, </w:t>
      </w:r>
      <w:r w:rsidRPr="0060771C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</w:t>
      </w:r>
      <w:r w:rsidRPr="0060771C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H</w:t>
      </w:r>
      <w:r w:rsidRPr="0060771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Williamson T. Face-down positioning or posturing after pars plana vitrectomy for macula-involving </w:t>
      </w:r>
      <w:proofErr w:type="spellStart"/>
      <w:r w:rsidRPr="0060771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rhegmatogenous</w:t>
      </w:r>
      <w:proofErr w:type="spellEnd"/>
      <w:r w:rsidRPr="0060771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retinal detachments. Cochrane Database of Systematic Reviews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2024. (In press)</w:t>
      </w:r>
    </w:p>
    <w:p w14:paraId="45E80C62" w14:textId="77777777" w:rsidR="0060771C" w:rsidRPr="0060771C" w:rsidRDefault="0060771C" w:rsidP="0060771C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272292EE" w14:textId="30B45057" w:rsidR="00ED7C91" w:rsidRPr="006D2C22" w:rsidRDefault="00251D4C" w:rsidP="00DC3FAC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6D2C2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Kang C, Lin JC, Zhang H, Scott IU, Kalpathy-Cramer J, </w:t>
      </w:r>
      <w:r w:rsidRPr="006D2C22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6D2C2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Greenberg PB. Artificial intelligence for diagnosing exudative age‐related macular degeneration. Cochrane Database of Systematic Reviews 202</w:t>
      </w:r>
      <w:r w:rsidR="00A20B6E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4</w:t>
      </w:r>
      <w:r w:rsidR="00815242" w:rsidRPr="006D2C2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  <w:r w:rsidRPr="006D2C2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</w:t>
      </w:r>
      <w:r w:rsidR="00815242" w:rsidRPr="006D2C2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(I</w:t>
      </w:r>
      <w:r w:rsidRPr="006D2C2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n press)</w:t>
      </w:r>
    </w:p>
    <w:p w14:paraId="7EF94649" w14:textId="77777777" w:rsidR="00244D3D" w:rsidRPr="00244D3D" w:rsidRDefault="00244D3D" w:rsidP="00244D3D">
      <w:pPr>
        <w:spacing w:line="240" w:lineRule="atLeast"/>
        <w:rPr>
          <w:rFonts w:ascii="Helvetica Neue" w:hAnsi="Helvetica Neue" w:cs="Times New Roman"/>
          <w:color w:val="7F7F7F" w:themeColor="text1" w:themeTint="80"/>
          <w:sz w:val="21"/>
          <w:szCs w:val="21"/>
          <w:u w:color="000000" w:themeColor="text1"/>
        </w:rPr>
      </w:pPr>
    </w:p>
    <w:p w14:paraId="7F479B50" w14:textId="62EC9FBA" w:rsidR="00244D3D" w:rsidRDefault="00815242" w:rsidP="00DC3FAC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81524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Saldanha IJ, Petris R, Ifantides C, Hauswirth SG, Gregory DG, Qureshi R, McCann P, </w:t>
      </w:r>
      <w:r w:rsidRPr="00815242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81524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Abraham AG, Li T. Patient barriers and facilitators for making environmental and behavioral modifications for dry eye in the United States. Optometry and Vision Science</w:t>
      </w:r>
      <w:r w:rsidR="001B68F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2024</w:t>
      </w:r>
      <w:r w:rsidRPr="00815242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 (In press)</w:t>
      </w:r>
    </w:p>
    <w:p w14:paraId="791E48AA" w14:textId="77777777" w:rsidR="00244D3D" w:rsidRPr="00244D3D" w:rsidRDefault="00244D3D" w:rsidP="00244D3D">
      <w:pPr>
        <w:pStyle w:val="ListParagraph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0284BF93" w14:textId="2D24B255" w:rsidR="00244D3D" w:rsidRPr="00244D3D" w:rsidRDefault="00244D3D" w:rsidP="00DC3FAC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244D3D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Chen H, McCann P, Lien T, Xiao M, Abraham AG, Gregory DG, Hauswirth SG, Qureshi R, </w:t>
      </w:r>
      <w:r w:rsidRPr="00244D3D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</w:t>
      </w:r>
      <w:r w:rsidRPr="00244D3D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</w:t>
      </w:r>
      <w:r w:rsidRPr="00244D3D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SH</w:t>
      </w:r>
      <w:r w:rsidRPr="00244D3D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Saldanha IJ, Li T. Prevalence of dry eye and Meibomian gland dysfunction in Central and South America: a systematic review and meta-analysis. BMC Ophthalmology</w:t>
      </w:r>
      <w:r w:rsidR="002E269E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2024</w:t>
      </w:r>
      <w:r w:rsidRPr="00244D3D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 (In press)</w:t>
      </w:r>
    </w:p>
    <w:p w14:paraId="447FB37B" w14:textId="77777777" w:rsidR="00ED7C91" w:rsidRPr="00ED7C91" w:rsidRDefault="00ED7C91" w:rsidP="00ED7C91">
      <w:pPr>
        <w:spacing w:line="240" w:lineRule="atLeast"/>
        <w:rPr>
          <w:rFonts w:ascii="Helvetica Neue" w:hAnsi="Helvetica Neue" w:cs="Times New Roman"/>
          <w:color w:val="7F7F7F" w:themeColor="text1" w:themeTint="80"/>
          <w:sz w:val="21"/>
          <w:szCs w:val="21"/>
          <w:u w:color="000000" w:themeColor="text1"/>
        </w:rPr>
      </w:pPr>
    </w:p>
    <w:p w14:paraId="7F2B9890" w14:textId="77777777" w:rsidR="008666D1" w:rsidRDefault="008666D1" w:rsidP="008666D1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8666D1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Chen YY, </w:t>
      </w:r>
      <w:proofErr w:type="spellStart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Nurmatov</w:t>
      </w:r>
      <w:proofErr w:type="spellEnd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U, van </w:t>
      </w:r>
      <w:proofErr w:type="spellStart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Schayck</w:t>
      </w:r>
      <w:proofErr w:type="spellEnd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OC, </w:t>
      </w:r>
      <w:proofErr w:type="spellStart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Kuo</w:t>
      </w:r>
      <w:proofErr w:type="spellEnd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IC. Antibiotics versus placebo for acute bacterial conjunctivitis: findings from a Cochrane Systematic Review. Am J </w:t>
      </w:r>
      <w:proofErr w:type="spellStart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Ophthalmol</w:t>
      </w:r>
      <w:proofErr w:type="spellEnd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. 2024 </w:t>
      </w:r>
      <w:proofErr w:type="gramStart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Jan;257:143</w:t>
      </w:r>
      <w:proofErr w:type="gramEnd"/>
      <w:r w:rsidRPr="008666D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-153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48CE6C71" w14:textId="77777777" w:rsidR="008666D1" w:rsidRPr="008666D1" w:rsidRDefault="008666D1" w:rsidP="008666D1">
      <w:pPr>
        <w:pStyle w:val="ListParagraph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2B6E23D9" w14:textId="6FA78D69" w:rsidR="00953D11" w:rsidRDefault="00953D11" w:rsidP="000E1BC7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Nucci P, </w:t>
      </w:r>
      <w:r w:rsidRPr="00953D11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Villani E. Cochrane corner: interventions for myopia control in children. Eye (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Lond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). 2023 Dec;37(17):3526-3527.</w:t>
      </w:r>
    </w:p>
    <w:p w14:paraId="3B620AF5" w14:textId="77777777" w:rsidR="00953D11" w:rsidRPr="00953D11" w:rsidRDefault="00953D11" w:rsidP="00953D11">
      <w:pPr>
        <w:pStyle w:val="ListParagraph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515F8488" w14:textId="302F8E2D" w:rsidR="000E1BC7" w:rsidRPr="000E1BC7" w:rsidRDefault="000E1BC7" w:rsidP="000E1BC7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0E1BC7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Li T, McCann PM, Wilting S, McNamara S, Gregory DG, Hauswirth SG, Ifantides C, Benning L, </w:t>
      </w:r>
      <w:proofErr w:type="spellStart"/>
      <w:r w:rsidRPr="000E1BC7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Sequeira</w:t>
      </w:r>
      <w:proofErr w:type="spellEnd"/>
      <w:r w:rsidRPr="000E1BC7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TA, Qureshi R, </w:t>
      </w:r>
      <w:r w:rsidRPr="000E1BC7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0E1BC7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Clark MA, Saldanha IJ, Abraham AG. Prolonged facemask wearing among hospital workers and dry eye - a mixed-methods study. BMC </w:t>
      </w:r>
      <w:proofErr w:type="spellStart"/>
      <w:r w:rsidRPr="000E1BC7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Ophthalmol</w:t>
      </w:r>
      <w:proofErr w:type="spellEnd"/>
      <w:r w:rsidRPr="000E1BC7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 2023 Oct 19;23(1):420.</w:t>
      </w:r>
    </w:p>
    <w:p w14:paraId="3244E658" w14:textId="77777777" w:rsidR="000E1BC7" w:rsidRPr="000E1BC7" w:rsidRDefault="000E1BC7" w:rsidP="000E1BC7">
      <w:pPr>
        <w:pStyle w:val="ListParagraph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13DAB8D5" w14:textId="5FD48E26" w:rsidR="00ED7C91" w:rsidRPr="00ED7C91" w:rsidRDefault="00ED7C91" w:rsidP="005B7DF0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ED7C91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ED7C9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</w:t>
      </w:r>
      <w:proofErr w:type="spellStart"/>
      <w:r w:rsidRPr="00ED7C9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Kuo</w:t>
      </w:r>
      <w:proofErr w:type="spellEnd"/>
      <w:r w:rsidRPr="00ED7C9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IC. Topical antibiotics and artificial tears associated with reduced infective-conjunctivitis symptoms. J </w:t>
      </w:r>
      <w:proofErr w:type="spellStart"/>
      <w:r w:rsidRPr="00ED7C9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Pediatr</w:t>
      </w:r>
      <w:proofErr w:type="spellEnd"/>
      <w:r w:rsidRPr="00ED7C9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 2023 Oct;261:113320. doi: 10.1016/j.jpeds.2022.12.021.</w:t>
      </w:r>
    </w:p>
    <w:p w14:paraId="41801139" w14:textId="77777777" w:rsidR="00251D4C" w:rsidRPr="00251D4C" w:rsidRDefault="00251D4C" w:rsidP="00251D4C">
      <w:pPr>
        <w:spacing w:line="240" w:lineRule="atLeast"/>
        <w:rPr>
          <w:rFonts w:ascii="Helvetica Neue" w:hAnsi="Helvetica Neue" w:cs="Times New Roman"/>
          <w:color w:val="7F7F7F" w:themeColor="text1" w:themeTint="80"/>
          <w:sz w:val="21"/>
          <w:szCs w:val="21"/>
          <w:u w:color="000000" w:themeColor="text1"/>
        </w:rPr>
      </w:pPr>
    </w:p>
    <w:p w14:paraId="101A3154" w14:textId="5FF5A44C" w:rsidR="000636AA" w:rsidRDefault="000636AA" w:rsidP="000636AA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proofErr w:type="spellStart"/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lastRenderedPageBreak/>
        <w:t>Sulewski</w:t>
      </w:r>
      <w:proofErr w:type="spellEnd"/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M, </w:t>
      </w:r>
      <w:proofErr w:type="spellStart"/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Ifantides</w:t>
      </w:r>
      <w:proofErr w:type="spellEnd"/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C, </w:t>
      </w:r>
      <w:r w:rsidRPr="00F06B1B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Leslie L, Kuo IC. Topical ophthalmic anesthetics for corneal abrasions. Cochrane Database of Systematic Reviews 202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3</w:t>
      </w:r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Issue 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8</w:t>
      </w:r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 Art. No.: CD015091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. doi: </w:t>
      </w:r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10.1002/14651858.CD015091.</w:t>
      </w:r>
    </w:p>
    <w:p w14:paraId="3ABAC7D1" w14:textId="77777777" w:rsidR="00251D4C" w:rsidRPr="00282415" w:rsidRDefault="00251D4C" w:rsidP="00251D4C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45FE636C" w14:textId="0FD0AC7D" w:rsidR="00B576AA" w:rsidRPr="005F4524" w:rsidRDefault="00197014" w:rsidP="005B7DF0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Sullivan DA, da Costa AX, Doll T, </w:t>
      </w:r>
      <w:proofErr w:type="spellStart"/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Grupcheva</w:t>
      </w:r>
      <w:proofErr w:type="spellEnd"/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CN, </w:t>
      </w:r>
      <w:proofErr w:type="spellStart"/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Lazreg</w:t>
      </w:r>
      <w:proofErr w:type="spellEnd"/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S, </w:t>
      </w:r>
      <w:r w:rsidRPr="00282415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McGee SR, </w:t>
      </w:r>
      <w:proofErr w:type="spellStart"/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Mrthy</w:t>
      </w:r>
      <w:proofErr w:type="spellEnd"/>
      <w:r w:rsidRPr="00282415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R, </w:t>
      </w:r>
      <w:r w:rsidRPr="005F452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Narang P, Ng A, </w:t>
      </w:r>
      <w:proofErr w:type="spellStart"/>
      <w:r w:rsidRPr="005F452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Nistico</w:t>
      </w:r>
      <w:proofErr w:type="spellEnd"/>
      <w:r w:rsidRPr="005F452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S, O’Dell L, Shen J, Harmonization Committee member. TFOS Lifestyle Workshop: Report of the cosmetics subcommittee. Ocular Surface </w:t>
      </w:r>
      <w:r w:rsidR="00953D11"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2023 </w:t>
      </w:r>
      <w:proofErr w:type="gramStart"/>
      <w:r w:rsidR="00953D11"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Jul;29:77</w:t>
      </w:r>
      <w:proofErr w:type="gramEnd"/>
      <w:r w:rsidR="00953D11"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-130</w:t>
      </w:r>
      <w:r w:rsid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7E67223E" w14:textId="77777777" w:rsidR="000636AA" w:rsidRPr="005F4524" w:rsidRDefault="000636AA" w:rsidP="00AE5CBB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6D0040CD" w14:textId="4F1CB87F" w:rsidR="00953D11" w:rsidRPr="00953D11" w:rsidRDefault="00953D11" w:rsidP="00266DE1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Downie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LE, Britten-Jones AC, Hogg RE, 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Jalbert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I, Li T, 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Lingham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G, </w:t>
      </w:r>
      <w:r w:rsidRPr="00953D11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Qureshi R, Saldanha IJ, Singh S, Craig JP. TFOS Lifestyle - Evidence quality report: Advancing the evaluation and synthesis of research evidence. Ocul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ar</w:t>
      </w: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Surf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ace</w:t>
      </w: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2023 </w:t>
      </w:r>
      <w:proofErr w:type="gram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Apr;28:200</w:t>
      </w:r>
      <w:proofErr w:type="gram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-212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3DC2D96E" w14:textId="77777777" w:rsidR="00953D11" w:rsidRPr="00953D11" w:rsidRDefault="00953D11" w:rsidP="00953D11">
      <w:pPr>
        <w:pStyle w:val="ListParagraph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</w:p>
    <w:p w14:paraId="5E0C583C" w14:textId="30FA4E1C" w:rsidR="00953D11" w:rsidRDefault="00953D11" w:rsidP="00C53EE4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Ong ZZ, 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Sadek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Y, Liu X, Qureshi R, </w:t>
      </w:r>
      <w:r w:rsidRPr="00953D11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Li T, 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Sounderajah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V, 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Ashrafian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H, Ting DSW, Said DG, Mehta JS, Burton MJ, </w:t>
      </w:r>
      <w:proofErr w:type="spell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Dua</w:t>
      </w:r>
      <w:proofErr w:type="spell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HS, Ting DSJ. Diagnostic performance of deep learning in infectious keratitis: a systematic review and meta-analysis protocol. BMJ Open. 2023 May 10;13(5</w:t>
      </w:r>
      <w:proofErr w:type="gramStart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):e</w:t>
      </w:r>
      <w:proofErr w:type="gramEnd"/>
      <w:r w:rsidRPr="00953D11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065537.</w:t>
      </w:r>
    </w:p>
    <w:p w14:paraId="1AA1DFC0" w14:textId="77777777" w:rsidR="00953D11" w:rsidRPr="00953D11" w:rsidRDefault="00953D11" w:rsidP="00953D11">
      <w:pPr>
        <w:pStyle w:val="ListParagraph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5E3EFF08" w14:textId="057B161F" w:rsidR="00C53EE4" w:rsidRPr="00EB3009" w:rsidRDefault="00C53EE4" w:rsidP="00C53EE4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EB300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Reddy A, </w:t>
      </w:r>
      <w:r w:rsidRPr="00EB3009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EB300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Brady CJ, Sieving PC, Palestine AG. Corticosteroid implants for chronic non-infectious uveitis. Cochrane Database of Systematic Reviews </w:t>
      </w:r>
      <w:r w:rsidR="00EB3009" w:rsidRPr="00EB300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2023</w:t>
      </w:r>
      <w:r w:rsidR="00EB300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Issue 1. Art. No.: CD010469. </w:t>
      </w:r>
      <w:r w:rsidR="00EB3009" w:rsidRPr="00EB300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10.1002/14651858.CD010469.pub3</w:t>
      </w:r>
      <w:r w:rsidR="00EB3009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7A484418" w14:textId="77777777" w:rsidR="00C53EE4" w:rsidRPr="00F77A77" w:rsidRDefault="00C53EE4" w:rsidP="00C53EE4">
      <w:pPr>
        <w:spacing w:line="240" w:lineRule="atLeast"/>
        <w:rPr>
          <w:rFonts w:ascii="Helvetica Neue" w:hAnsi="Helvetica Neue" w:cs="Times New Roman"/>
          <w:color w:val="7F7F7F" w:themeColor="text1" w:themeTint="80"/>
          <w:sz w:val="21"/>
          <w:szCs w:val="21"/>
          <w:u w:color="000000" w:themeColor="text1"/>
        </w:rPr>
      </w:pPr>
    </w:p>
    <w:p w14:paraId="12B80CD2" w14:textId="6A10E1E6" w:rsidR="00F06B1B" w:rsidRPr="00B076C6" w:rsidRDefault="00F06B1B" w:rsidP="009954AF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B076C6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Wingert AM, </w:t>
      </w:r>
      <w:r w:rsidRPr="00B076C6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B076C6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Lin JC, Sridhar J. Non-steroidal anti-inflammatory agents for treating cystoid macular oedema following cataract surgery. Cochrane Database of Systematic Reviews 2022</w:t>
      </w:r>
      <w:r w:rsidR="00B076C6" w:rsidRPr="00B076C6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Issue 12. Art. No.: CD004239. </w:t>
      </w:r>
      <w:r w:rsidR="00B076C6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doi</w:t>
      </w:r>
      <w:r w:rsidR="00B076C6" w:rsidRPr="00B076C6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: 10.1002/14651858.CD004239.pub4</w:t>
      </w:r>
      <w:r w:rsidR="00B076C6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6DA457C5" w14:textId="77777777" w:rsidR="00F06B1B" w:rsidRPr="00F77A77" w:rsidRDefault="00F06B1B" w:rsidP="00F06B1B">
      <w:pPr>
        <w:spacing w:line="240" w:lineRule="atLeast"/>
        <w:rPr>
          <w:rFonts w:ascii="Helvetica Neue" w:hAnsi="Helvetica Neue" w:cs="Times New Roman"/>
          <w:color w:val="7F7F7F" w:themeColor="text1" w:themeTint="80"/>
          <w:sz w:val="21"/>
          <w:szCs w:val="21"/>
          <w:u w:color="000000" w:themeColor="text1"/>
        </w:rPr>
      </w:pPr>
    </w:p>
    <w:p w14:paraId="60A1523F" w14:textId="2E05095C" w:rsidR="00F06B1B" w:rsidRDefault="00F06B1B" w:rsidP="009954AF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F06B1B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Fung T, Lois N, Wright DM, </w:t>
      </w:r>
      <w:r w:rsidRPr="00F06B1B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F06B1B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Williamson T. Face-down positioning or posturing after vitrectomy for macula-involving rhegmatogenous retinal detachments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(Protocol)</w:t>
      </w:r>
      <w:r w:rsidRPr="00F06B1B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 Cochrane Database of Systematic Reviews</w:t>
      </w:r>
      <w:r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</w:t>
      </w:r>
      <w:r w:rsidR="00B559A0" w:rsidRPr="00B559A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2022, Issue 12. Art. No.: CD015514. </w:t>
      </w:r>
      <w:r w:rsidR="00B559A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doi</w:t>
      </w:r>
      <w:r w:rsidR="00B559A0" w:rsidRPr="00B559A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: 10.1002/14651858.CD015514</w:t>
      </w:r>
      <w:r w:rsidR="00B559A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0831E1B1" w14:textId="77777777" w:rsidR="00F06B1B" w:rsidRPr="00F06B1B" w:rsidRDefault="00F06B1B" w:rsidP="00F06B1B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3E29B969" w14:textId="17D576B9" w:rsidR="009954AF" w:rsidRDefault="00477555" w:rsidP="009954AF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9954AF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Saldanha IJ, Abraham AG, </w:t>
      </w:r>
      <w:proofErr w:type="spellStart"/>
      <w:r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Rittiphairoj</w:t>
      </w:r>
      <w:proofErr w:type="spellEnd"/>
      <w:r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T, </w:t>
      </w:r>
      <w:r w:rsidR="00A160CB"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Hauswirth S, </w:t>
      </w:r>
      <w:r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Gregory D, Ifantides C, Li T. Topical corticosteroids for dry eye. Cochrane Database Systematic Review 202</w:t>
      </w:r>
      <w:r w:rsidR="00A160CB"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2</w:t>
      </w:r>
      <w:r w:rsidR="009954AF" w:rsidRPr="009954AF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Issue 10. Art. No.: CD015070. doi: 10.1002/14651858.CD015070.pub2. </w:t>
      </w:r>
    </w:p>
    <w:p w14:paraId="62B69D7A" w14:textId="77777777" w:rsidR="009954AF" w:rsidRPr="009954AF" w:rsidRDefault="009954AF" w:rsidP="009954AF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5C4CC126" w14:textId="6264C362" w:rsidR="005B7DF0" w:rsidRDefault="009954AF" w:rsidP="00072667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McCann P, Abraham AG, Mukhopadhyay A, </w:t>
      </w:r>
      <w:proofErr w:type="spellStart"/>
      <w:r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Panagiotopoulou</w:t>
      </w:r>
      <w:proofErr w:type="spellEnd"/>
      <w:r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K, Chen H, </w:t>
      </w:r>
      <w:proofErr w:type="spellStart"/>
      <w:r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Rittiphairoj</w:t>
      </w:r>
      <w:proofErr w:type="spellEnd"/>
      <w:r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T, Gregory DG, Hauswirth SG, Ifantides C, Qureshi R, </w:t>
      </w:r>
      <w:r w:rsidRPr="00A0336C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, Saldanha IJ, Li T. Prevalence and Incidence of Dry Eye and Meibomian Gland Dysfunction in the United States: A Systematic Review and Meta-analysis. JAMA Ophthalmol. </w:t>
      </w:r>
      <w:r w:rsidR="00A0336C" w:rsidRP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Dec 1;140(12):1181-1192. doi: 10.1001/jamaophthalmol.2022.4394</w:t>
      </w:r>
      <w:r w:rsidR="00A0336C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.</w:t>
      </w:r>
    </w:p>
    <w:p w14:paraId="4EA8623D" w14:textId="77777777" w:rsidR="00A0336C" w:rsidRPr="00A0336C" w:rsidRDefault="00A0336C" w:rsidP="00A0336C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04162179" w14:textId="13543681" w:rsidR="00A50CC3" w:rsidRPr="005B7DF0" w:rsidRDefault="00A50CC3" w:rsidP="00EC4312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r w:rsidRPr="005B7DF0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5B7DF0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Hawkins BS, Ren M, Ng SM, Leslie L, Han G, Kuo IC. Topical pharmacologic interventions versus active control, placebo, or no treatment for epidemic keratoconjunctivitis: findings from a Cochrane Systematic Review. Am J Ophthalmol. 2022 Mar 21:S0002-9394(22)00118-0. doi: 10.1016/j.ajo.2022.03.018. Epub ahead of print.</w:t>
      </w:r>
    </w:p>
    <w:p w14:paraId="5DD06933" w14:textId="77777777" w:rsidR="00A50CC3" w:rsidRPr="00A50CC3" w:rsidRDefault="00A50CC3" w:rsidP="00A50CC3">
      <w:pPr>
        <w:spacing w:line="240" w:lineRule="atLeast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0A8FBE70" w14:textId="74A6904B" w:rsidR="009205D1" w:rsidRPr="00DD5894" w:rsidRDefault="00BF5E59" w:rsidP="00BF4020">
      <w:pPr>
        <w:pStyle w:val="ListParagraph"/>
        <w:numPr>
          <w:ilvl w:val="0"/>
          <w:numId w:val="17"/>
        </w:numPr>
        <w:spacing w:line="240" w:lineRule="atLeast"/>
        <w:ind w:left="360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  <w:proofErr w:type="spellStart"/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Sena</w:t>
      </w:r>
      <w:proofErr w:type="spellEnd"/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 xml:space="preserve"> DF, Kilian R, </w:t>
      </w:r>
      <w:r w:rsidRPr="00DD5894"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  <w:t>Liu SH</w:t>
      </w:r>
      <w:r w:rsidRPr="00DD5894"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  <w:t>, Rizzo S, Virgili G. Pneumatic retinopexy versus scleral buckle for repairing simple rhegmatogenous retinal detachments. Cochrane Database of Systematic Reviews 2021; 11; Art. No.: CD008350. doi: 10.1002/14651858.CD008350.pub3.</w:t>
      </w:r>
    </w:p>
    <w:p w14:paraId="2FF34A4B" w14:textId="77777777" w:rsidR="00A1579C" w:rsidRPr="00A1579C" w:rsidRDefault="00A1579C" w:rsidP="00A1579C">
      <w:pPr>
        <w:pStyle w:val="ListParagraph"/>
        <w:rPr>
          <w:rFonts w:ascii="Helvetica Neue" w:hAnsi="Helvetica Neue" w:cs="Times New Roman"/>
          <w:color w:val="000000" w:themeColor="text1"/>
          <w:sz w:val="21"/>
          <w:szCs w:val="21"/>
          <w:u w:color="000000" w:themeColor="text1"/>
        </w:rPr>
      </w:pPr>
    </w:p>
    <w:p w14:paraId="675B2DA7" w14:textId="6166F3EA" w:rsidR="00A1579C" w:rsidRDefault="00E12E38" w:rsidP="00A1579C">
      <w:pPr>
        <w:spacing w:line="240" w:lineRule="atLeast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  <w:r>
        <w:rPr>
          <w:rFonts w:ascii="Helvetica Neue" w:hAnsi="Helvetica Neue" w:cs="Times New Roman"/>
          <w:b/>
          <w:bCs/>
          <w:i/>
          <w:iCs/>
          <w:color w:val="000000" w:themeColor="text1"/>
          <w:sz w:val="21"/>
          <w:szCs w:val="21"/>
          <w:u w:color="000000" w:themeColor="text1"/>
        </w:rPr>
        <w:t>H</w:t>
      </w:r>
      <w:r w:rsidR="00FD075D">
        <w:rPr>
          <w:rFonts w:ascii="Helvetica Neue" w:hAnsi="Helvetica Neue" w:cs="Times New Roman"/>
          <w:b/>
          <w:bCs/>
          <w:i/>
          <w:iCs/>
          <w:color w:val="000000" w:themeColor="text1"/>
          <w:sz w:val="21"/>
          <w:szCs w:val="21"/>
          <w:u w:color="000000" w:themeColor="text1"/>
        </w:rPr>
        <w:t>ealth service research</w:t>
      </w:r>
    </w:p>
    <w:p w14:paraId="07CD50A1" w14:textId="41612B71" w:rsidR="009205D1" w:rsidRPr="00E12E38" w:rsidRDefault="009205D1" w:rsidP="00E12E38">
      <w:pPr>
        <w:pStyle w:val="ListParagraph"/>
        <w:numPr>
          <w:ilvl w:val="0"/>
          <w:numId w:val="24"/>
        </w:numPr>
        <w:spacing w:after="240" w:line="240" w:lineRule="atLeast"/>
        <w:rPr>
          <w:rFonts w:ascii="Helvetica Neue" w:hAnsi="Helvetica Neue"/>
          <w:sz w:val="22"/>
          <w:szCs w:val="22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lastRenderedPageBreak/>
        <w:t xml:space="preserve">Ng CY, Huang YH, Tzeng IS,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Chang YC. Changes in metabolic parameters in psoriasis patients treated with interleukin-12/23 blockade (ustekinumab). </w:t>
      </w:r>
      <w:proofErr w:type="spellStart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Dematologica</w:t>
      </w:r>
      <w:proofErr w:type="spellEnd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</w:t>
      </w:r>
      <w:proofErr w:type="spellStart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Sinica</w:t>
      </w:r>
      <w:proofErr w:type="spellEnd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2020;38:166-71. doi: 10.4103/ds.ds_27_20.</w:t>
      </w:r>
      <w:r w:rsidR="004A4D81"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</w:t>
      </w:r>
    </w:p>
    <w:p w14:paraId="693686EF" w14:textId="6E67F506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Kuo G, Chen SW, Huang JY, Wu CY, Fu CM, Chang CH,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Chan YH, Wu IW, Yang HY.* Short-term heart rate variability as a predictor of long-term survival in patients with chronic hemodialysis: A prospective cohort study. J Formos Med Assoc. 2018 Dec; 117(12):1058-1064. doi: 10.1016/j.jfma.2018.09.006.</w:t>
      </w:r>
    </w:p>
    <w:p w14:paraId="0CE6F6C2" w14:textId="2112D541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Yu HY, Chang YC, Hui RCY, Huang YC, Huang YH.* Host characteristics and dynamics of colonizing Staphylococcus aureus in patients with moderate-to-severe psoriasis before and after treatment: A prospective cohort study. JAAD 2019 Aug; 81(2): 605-607. doi: 10.1016/j.jaad.2018.05.031. Epub 2018 May 25.</w:t>
      </w:r>
    </w:p>
    <w:p w14:paraId="5E377ACA" w14:textId="52E85B25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Huang YC, Chen LY, Yu SC, Yu SY, Chuang HS.* The skin microbiome of burn wounds in the subacute postburn phase. Wound Repair &amp; Regeneration. 2018 Mar;26(2):182-191. doi: 10.1111/wrr.12632.</w:t>
      </w:r>
    </w:p>
    <w:p w14:paraId="3BB7D646" w14:textId="3512D6AB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Tsao YC, Gu PW,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Tzeng IS, Luo JC.* Nickel exposure and plasma levels of biomarkers for assessing oxidative stress in nickel electroplating workers. Biomarkers. 2017;22(5):455-60.</w:t>
      </w:r>
    </w:p>
    <w:p w14:paraId="30664304" w14:textId="59304296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Tsao YC,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Tzeng IS, Hsieh TH, Chen JY, Luo JCJ.* Do sanitary ceramic workers have a worse presentation of chest radiographs or pulmonary function tests than other ceramic workers? JFMA. 2017 Mar;116(3):139-144. doi:10.1016/j.jfma.2016.10.017</w:t>
      </w:r>
    </w:p>
    <w:p w14:paraId="675ED87D" w14:textId="16FC022E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Tzeng IS,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Chen KC*, Chen JC.* Predicting Emergency Department Visit Rates from Septicemia Using an Age-Period-Cohort Model. Medicine (Baltimore). 2016 Dec;95(50):e5598.</w:t>
      </w:r>
    </w:p>
    <w:p w14:paraId="018DE906" w14:textId="60151D7F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Chen KF,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Li CH, Wu CC, Chau CH, Tzeng IS, Hsieh YH, Blaney GN, Liu ZY, Han ST*, Chan YL.* Development and validation of a parsimonious pragmatic CHARM score to predict mortality in patients with suspected sepsis. AJEM. 2016 Nov 3. pii: S0735-6757(16)30801-4. doi: 10.1016/j.ajem.2016.10.075. </w:t>
      </w:r>
    </w:p>
    <w:p w14:paraId="46A55712" w14:textId="4038C454" w:rsidR="004A4D81" w:rsidRPr="00E12E38" w:rsidRDefault="004A4D81" w:rsidP="00E12E38">
      <w:pPr>
        <w:pStyle w:val="ListParagraph"/>
        <w:numPr>
          <w:ilvl w:val="0"/>
          <w:numId w:val="24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Tzeng IS,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Chen KF, Wu CC, Chen JC.* Impact of Performance Grading on Annual Numbers of Acute Myocardial Infarction Associated Emergency Department Visits in Taiwan: Results of Segmented Regression Analysis. Medicine. 2016 Oct;95(42):e4937. </w:t>
      </w:r>
    </w:p>
    <w:p w14:paraId="4F0928D8" w14:textId="49476E88" w:rsidR="004A4D81" w:rsidRPr="00E12E38" w:rsidRDefault="004A4D81" w:rsidP="00E12E38">
      <w:pPr>
        <w:pStyle w:val="ListParagraph"/>
        <w:numPr>
          <w:ilvl w:val="0"/>
          <w:numId w:val="25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Wu CY, Yang HY, Yao TJ,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Huang JL.* Serum IL-18 as Biomarker in Predicting Long-term Renal Outcome among Pediatric-onset Systemic Lupus Erythematosus Patients. Medicine. 2016 Oct;95(40):e5037</w:t>
      </w:r>
    </w:p>
    <w:p w14:paraId="5ABC3ACA" w14:textId="2F035EEC" w:rsidR="004A4D81" w:rsidRPr="00E12E38" w:rsidRDefault="004A4D81" w:rsidP="00E12E38">
      <w:pPr>
        <w:pStyle w:val="ListParagraph"/>
        <w:numPr>
          <w:ilvl w:val="0"/>
          <w:numId w:val="25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Chen KF, Chen CJ, Lin YH, Huang YC.* Intermittent nasal carriage with Staphylococcus aureus within a menstrual cycle: Results from a prospective cohort of healthy carriers. Medicine. 2016 June;95(26):e4040. doi: 10.1097/MD.0000000000004040</w:t>
      </w:r>
    </w:p>
    <w:p w14:paraId="1A838BCA" w14:textId="18350811" w:rsidR="00B576B4" w:rsidRPr="00E12E38" w:rsidRDefault="004A4D81" w:rsidP="00E12E38">
      <w:pPr>
        <w:pStyle w:val="ListParagraph"/>
        <w:numPr>
          <w:ilvl w:val="0"/>
          <w:numId w:val="25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Hsu CY,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Chao CH, Chan YL, Chen LM, Chen KF.* Blood Transfusions within the First 24 Hours of Hospitalization Did Not Impact Mortality Among Patients with Severe Sepsis. Medicine. 2016 Jan;95(4):e2601. doi: 10.1097/MD.0000000000002601</w:t>
      </w:r>
    </w:p>
    <w:p w14:paraId="52A8F277" w14:textId="7FCD2E94" w:rsidR="00B576B4" w:rsidRPr="00E12E38" w:rsidRDefault="00B576B4" w:rsidP="00E12E38">
      <w:pPr>
        <w:pStyle w:val="ListParagraph"/>
        <w:numPr>
          <w:ilvl w:val="0"/>
          <w:numId w:val="25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Yang HY, Hung CC,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Guo YG, Ko YC, Huang CT, Chou LF, Tian YC, Chang MY, Hsu HH, Lin MY, Hwang SJ, Yang CW.* Overlooked Risk for Chronic Kidney Disease after Leptospiral Infection: A Population-based Survey and Epidemiological Cohort Evidence. PLOS NegTropDis. 2015 Oct 9;9(10); e0004105 doi: 10.1371/journal.pntd.0004105</w:t>
      </w:r>
    </w:p>
    <w:p w14:paraId="1BFEB088" w14:textId="312E5899" w:rsidR="00B576B4" w:rsidRPr="00E12E38" w:rsidRDefault="00B576B4" w:rsidP="00E12E38">
      <w:pPr>
        <w:pStyle w:val="ListParagraph"/>
        <w:numPr>
          <w:ilvl w:val="0"/>
          <w:numId w:val="25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Hsiao CY, Yang HY,* Chang CH, Lin HL, Wu CY, Hsiao MC, Hung PH,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val="single" w:color="000000" w:themeColor="text1"/>
        </w:rPr>
        <w:t>,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Yen TH, Chen YC, Wu TC. Risk factors for Development of septic shock in Patients with Urinary Tract Infection. BioMed Res Int. vol. 2015, Article ID 717094, 7 pages, 2015. doi:10.1155/2015/717094</w:t>
      </w:r>
    </w:p>
    <w:p w14:paraId="4EA90670" w14:textId="043EA862" w:rsidR="00B576B4" w:rsidRPr="00E12E38" w:rsidRDefault="00B576B4" w:rsidP="00E12E38">
      <w:pPr>
        <w:pStyle w:val="ListParagraph"/>
        <w:numPr>
          <w:ilvl w:val="0"/>
          <w:numId w:val="25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lastRenderedPageBreak/>
        <w:t xml:space="preserve">Ng CY, Yang YW,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Lu JFR, Yang LC, Yang CH, Huang YH*. SF-36 healthy survey on psoriasis quality-of-life: A study of 414 Taiwanese patients. J Dermatol. Feb;42(2):159-65. Epub online 13 JAN 2015, DOI: 10.1111/1346-8138.12748 </w:t>
      </w:r>
    </w:p>
    <w:p w14:paraId="64966331" w14:textId="7FCF9BD7" w:rsidR="00E12E38" w:rsidRDefault="00E12E38" w:rsidP="00E12E38">
      <w:pPr>
        <w:spacing w:line="240" w:lineRule="atLeast"/>
        <w:rPr>
          <w:rFonts w:ascii="Helvetica Neue" w:hAnsi="Helvetica Neue" w:cs="Times New Roman"/>
          <w:b/>
          <w:bCs/>
          <w:color w:val="000000" w:themeColor="text1"/>
          <w:sz w:val="21"/>
          <w:szCs w:val="21"/>
          <w:u w:color="000000" w:themeColor="text1"/>
        </w:rPr>
      </w:pPr>
      <w:r>
        <w:rPr>
          <w:rFonts w:ascii="Helvetica Neue" w:hAnsi="Helvetica Neue" w:cs="Times New Roman"/>
          <w:b/>
          <w:bCs/>
          <w:i/>
          <w:iCs/>
          <w:color w:val="000000" w:themeColor="text1"/>
          <w:sz w:val="21"/>
          <w:szCs w:val="21"/>
          <w:u w:color="000000" w:themeColor="text1"/>
        </w:rPr>
        <w:t>Epidemiology</w:t>
      </w:r>
    </w:p>
    <w:p w14:paraId="26E5690B" w14:textId="305B34D0" w:rsidR="00C77705" w:rsidRDefault="00C77705" w:rsidP="00E12E38">
      <w:pPr>
        <w:pStyle w:val="ListParagraph"/>
        <w:numPr>
          <w:ilvl w:val="0"/>
          <w:numId w:val="22"/>
        </w:numPr>
        <w:spacing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742C72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SH Liu</w:t>
      </w:r>
      <w:r w:rsidRPr="00C77705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YH Huang, HJ Weng, TF Tsai, HY Yang, LY Chen, YL Chiu, HY Yu, YC Chiu, CY Ng, YC Chang, CYR Hui, YC Huang</w:t>
      </w:r>
      <w:r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. Temporal dynamics of skin microbiota and immune correlates in psoriasis patients receiving systemic treatment. Pre-print. </w:t>
      </w:r>
      <w:r w:rsidR="00742C72" w:rsidRPr="00742C72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https://www.medrxiv.org/content/10.1101/2023.11.27.23298999v1</w:t>
      </w:r>
    </w:p>
    <w:p w14:paraId="7650A0C8" w14:textId="3F5944AA" w:rsidR="00C5540D" w:rsidRDefault="00C5540D" w:rsidP="00E12E38">
      <w:pPr>
        <w:pStyle w:val="ListParagraph"/>
        <w:numPr>
          <w:ilvl w:val="0"/>
          <w:numId w:val="22"/>
        </w:numPr>
        <w:spacing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Weng HJ, Huang YH, Tsai TF, </w:t>
      </w:r>
      <w:r w:rsidRPr="00C5540D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*. Associations between patient-reported outcomes and characteristics of pruritus in psoriasis patients undergoing biological treatment. Acta Derm</w:t>
      </w:r>
      <w:r w:rsidR="00742C72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at</w:t>
      </w:r>
      <w:r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ologica. (In review)</w:t>
      </w:r>
    </w:p>
    <w:p w14:paraId="5F4F44A3" w14:textId="43718D90" w:rsidR="00D61460" w:rsidRDefault="00D61460" w:rsidP="00E12E38">
      <w:pPr>
        <w:pStyle w:val="ListParagraph"/>
        <w:numPr>
          <w:ilvl w:val="0"/>
          <w:numId w:val="22"/>
        </w:numPr>
        <w:spacing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D61460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Chen KF, Feng TW, Wu CC, </w:t>
      </w:r>
      <w:proofErr w:type="spellStart"/>
      <w:r w:rsidRPr="00D61460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Yunusa</w:t>
      </w:r>
      <w:proofErr w:type="spellEnd"/>
      <w:r w:rsidRPr="00D61460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I, </w:t>
      </w:r>
      <w:r w:rsidRPr="00D61460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D61460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Yeh CF, Han ST, Mao CY, Harika D, Rothman R, </w:t>
      </w:r>
      <w:proofErr w:type="spellStart"/>
      <w:r w:rsidRPr="00D61460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Pekosz</w:t>
      </w:r>
      <w:proofErr w:type="spellEnd"/>
      <w:r w:rsidRPr="00D61460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A. Diagnostic accuracy of clinical signs and symptoms of COVID-19: A systematic review and meta-analysis to investigate the different estimates in a different stage of the pandemic outbreak. J Glob Health. 2023 Jul 14;13:06026. doi: 10.7189/jogh.13.06026. PMID: 37441773</w:t>
      </w:r>
    </w:p>
    <w:p w14:paraId="7868300E" w14:textId="5231E5F2" w:rsidR="00E12E38" w:rsidRDefault="00E12E38" w:rsidP="00E12E38">
      <w:pPr>
        <w:pStyle w:val="ListParagraph"/>
        <w:numPr>
          <w:ilvl w:val="0"/>
          <w:numId w:val="22"/>
        </w:numPr>
        <w:spacing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Zheng Q, Jones FK, Leavitt SV, Ung L, Labrique AB, Peters DH, Lee EC, Azman AS, </w:t>
      </w:r>
      <w:r w:rsidRPr="00996487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HIT-COVID Collaboration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. HIT-COVID, a global database tracking public health intervention to COVID-19. Sci Data 7, 286 (2020). doi:10.1038/s41597-020-00610-2</w:t>
      </w:r>
    </w:p>
    <w:p w14:paraId="71347CE3" w14:textId="77777777" w:rsidR="00E12E38" w:rsidRPr="00E12E38" w:rsidRDefault="00E12E38" w:rsidP="00E12E38">
      <w:pPr>
        <w:pStyle w:val="ListParagraph"/>
        <w:numPr>
          <w:ilvl w:val="0"/>
          <w:numId w:val="22"/>
        </w:numPr>
        <w:spacing w:before="240" w:after="240" w:line="240" w:lineRule="atLeast"/>
        <w:rPr>
          <w:rFonts w:ascii="Helvetica Neue" w:hAnsi="Helvetica Neue"/>
          <w:sz w:val="22"/>
          <w:szCs w:val="22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Weng HJ, Shih MH, Tsai TF, Song YC, Pan YC, Hu JY, Hui CY, Lee WR, Huang YH,*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.* Clinical validation and utility of Chinese Eppendorf Itch Questionnaire in adults with chronic pruritus symptoms. JFMA 2021;120(1):492-500. doi: </w:t>
      </w:r>
      <w:r w:rsidRPr="00E12E38">
        <w:rPr>
          <w:rFonts w:ascii="Helvetica Neue" w:hAnsi="Helvetica Neue" w:cs="Arial"/>
          <w:sz w:val="22"/>
          <w:szCs w:val="22"/>
        </w:rPr>
        <w:t>10.1016/j.jfma.2020.06.022</w:t>
      </w:r>
    </w:p>
    <w:p w14:paraId="05A80AC0" w14:textId="77777777" w:rsidR="00E12E38" w:rsidRPr="00E12E38" w:rsidRDefault="00E12E38" w:rsidP="00E12E38">
      <w:pPr>
        <w:pStyle w:val="ListParagraph"/>
        <w:numPr>
          <w:ilvl w:val="0"/>
          <w:numId w:val="22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Yeh CF, Wu CC,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Chen KF.* Comparison of the accuracy of neutrophil CD64, procalcitonin, and C-reactive protein for sepsis identification: a systematic review and meta-analysis. Ann Intensive Care. 2019 Jan 8;9(1):5. doi: 10.1186/s13613-018-0479-2</w:t>
      </w:r>
    </w:p>
    <w:p w14:paraId="447C4127" w14:textId="77777777" w:rsidR="00E12E38" w:rsidRPr="00E12E38" w:rsidRDefault="00E12E38" w:rsidP="00E12E38">
      <w:pPr>
        <w:pStyle w:val="ListParagraph"/>
        <w:numPr>
          <w:ilvl w:val="0"/>
          <w:numId w:val="22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Wu CC, Lan HM, Han ST, Chao CH, Yeh CF,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Li CH, Blaney GN, Liu ZY, Chen KF*. Comparison of Diagnostic Accuracy in Sepsis between Presepsin, Procalcitonin and C-reactive protein: A Systematic Review and Meta-analysis. Annals Intensive Care. 2017 Sep 6;7(1):91. doi: 10.1186/s13613-017-0316-z.</w:t>
      </w:r>
    </w:p>
    <w:p w14:paraId="6DDC51B4" w14:textId="77777777" w:rsidR="00E12E38" w:rsidRPr="00E12E38" w:rsidRDefault="00E12E38" w:rsidP="00E12E38">
      <w:pPr>
        <w:pStyle w:val="ListParagraph"/>
        <w:numPr>
          <w:ilvl w:val="0"/>
          <w:numId w:val="22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Ng CY, Huang YH, Chu CF, Wu TC,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.* Risks for Staphylococcus aureus colonization in psoriasis patients: A systematic review and meta-analysis. British J Dermatol. 2017;177(4):967-977. doi: 10.1111/bjd.15366 </w:t>
      </w:r>
    </w:p>
    <w:p w14:paraId="5CF4DC41" w14:textId="77777777" w:rsidR="00742C72" w:rsidRDefault="00E12E38" w:rsidP="00742C72">
      <w:pPr>
        <w:pStyle w:val="ListParagraph"/>
        <w:numPr>
          <w:ilvl w:val="0"/>
          <w:numId w:val="22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,* Tzeng IS, Hsieh TH, Huang YC. Associations between excessive adiposity and seroprevalence of herpes simplex virus type 1 and type 2 among US adults: a population-based age-period-cohort analysis. BMJ Open. 2016 6:  </w:t>
      </w:r>
      <w:proofErr w:type="spellStart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doi</w:t>
      </w:r>
      <w:proofErr w:type="spellEnd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: 10.1136/bmjopen-2016-012571</w:t>
      </w:r>
    </w:p>
    <w:p w14:paraId="3236E1D6" w14:textId="32CB734F" w:rsidR="00DB2571" w:rsidRPr="00742C72" w:rsidRDefault="00E12E38" w:rsidP="00742C72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742C72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 xml:space="preserve">Liu </w:t>
      </w:r>
      <w:proofErr w:type="gramStart"/>
      <w:r w:rsidRPr="00742C72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SH</w:t>
      </w:r>
      <w:r w:rsidRPr="00742C72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,*</w:t>
      </w:r>
      <w:proofErr w:type="gramEnd"/>
      <w:r w:rsidRPr="00742C72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Chen HJ, Hsieh TH, Chen JC, Huang YC. Excessive adiposity, metabolic health, and risks for genital human papillomavirus infection in adult women: a population-based cross-sectional study. BMC Obesity. 2015,2:39; </w:t>
      </w:r>
      <w:proofErr w:type="spellStart"/>
      <w:r w:rsidRPr="00742C72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doi</w:t>
      </w:r>
      <w:proofErr w:type="spellEnd"/>
      <w:r w:rsidRPr="00742C72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: 10.1186/s40608-015-0071-3</w:t>
      </w:r>
    </w:p>
    <w:p w14:paraId="1C3FEB07" w14:textId="00C83887" w:rsidR="008666D1" w:rsidRPr="00DB2571" w:rsidRDefault="00E12E38" w:rsidP="00DB2571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Shih MH, </w:t>
      </w:r>
      <w:proofErr w:type="spellStart"/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Lazo</w:t>
      </w:r>
      <w:proofErr w:type="spellEnd"/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M, </w:t>
      </w:r>
      <w:r w:rsidRPr="00DB2571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</w:t>
      </w:r>
      <w:proofErr w:type="spellStart"/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Bonekamp</w:t>
      </w:r>
      <w:proofErr w:type="spellEnd"/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S, Hernaez R, Clark JM.* Association between Nonalcoholic Fatty Liver Disease and Serum Uric Acid in the US Population. JFMA 2015;114(4):314-20. Doi: http://dx.doi.org/10.1016/ </w:t>
      </w:r>
      <w:proofErr w:type="gramStart"/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j.jfma</w:t>
      </w:r>
      <w:proofErr w:type="gramEnd"/>
      <w:r w:rsidRPr="00DB257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.2012.11.014</w:t>
      </w:r>
    </w:p>
    <w:p w14:paraId="37ADEE17" w14:textId="0B4F67DC" w:rsidR="00E12E38" w:rsidRPr="008666D1" w:rsidRDefault="00E12E38" w:rsidP="008666D1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8666D1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8666D1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Tseng CY, Lin CC.* Is neostigmine effective in severe pufferfish-associated tetrodotoxin poisoning? Clin Toxicol 2015 Jan;53(1):13-21. doi:10.3109/15563650.2014.980581</w:t>
      </w:r>
    </w:p>
    <w:p w14:paraId="2693AB0B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Huynh L, Johns B,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Vedula S, Li T, Puhan </w:t>
      </w:r>
      <w:proofErr w:type="gramStart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MA.*</w:t>
      </w:r>
      <w:proofErr w:type="gramEnd"/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 Cost-effectiveness of recruitment strategies – A systematic review. Clinical Trial. 2014 Oct;11(5):576-83. doi: 10.1177/1740774514540371</w:t>
      </w:r>
    </w:p>
    <w:p w14:paraId="0A1591CD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lastRenderedPageBreak/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Cummings DAT, Zenilman JM, Gravitt PE,* Brotman R.* Characterizing Temporal Dynamics of Human Papillomavirus DNA Detectability Using Short-Interval Sampling. Cancer Epidemiol Biomarkers Prev. 2014 Jan;23(1):200-8. doi:10.1158/1055-9965.EPI-13-0666</w:t>
      </w:r>
    </w:p>
    <w:p w14:paraId="78871FEA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Brotman RM, Zenilman JM, Gravitt PE,* Cummings DAT,* Menstrual Cycle and Detectable Human Papillomavirus in Reproductive Women: A Time Series Study. J Infect Disease. 2013 208;1404-1415; doi: 10.1093/infdis/jit337 </w:t>
      </w:r>
    </w:p>
    <w:p w14:paraId="72E047EB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Rositch AF, Viscidi RP, Silver MI, Burke AE, Gravitt PE*. Obesity and Human Papillomavirus Infection in Peri-menopausal Women. J Infect Dis 2013 208: 1071-1080; doi: 10.1093/infdis/jit297</w:t>
      </w:r>
    </w:p>
    <w:p w14:paraId="21340293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Bennett WL,*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, Yeh J, Nicholson WK, Gunderson EP, Lewis CE, Clark JM. Changes in weight and health behaviors after pregnancies complicated by gestational diabetes mellitus: The CARDIA Study. Obesity. 2013 Jun;21(6):1269-75. doi: 10.1002/oby.20133 </w:t>
      </w:r>
    </w:p>
    <w:p w14:paraId="63539326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Lazo M, Koteish A, Kao WHL, Shih MH, Bonekamp S, Hernaez R, Clark JM.* Oral contraceptive pill use is associated with reduced odds of nonalcoholic fatty liver disease in menstruating women: Results from NHANES III. J Gastroenterol. 2013 48(10):1151-59. doi: 10.1007/s00535-012-0715-8</w:t>
      </w:r>
    </w:p>
    <w:p w14:paraId="1840F92A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Yeh HC,* Huang ES, Levin P,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and Brancati FL. Letter to the Editor: Medication Use in Elderly US Adults with Diabetes Mellitus and the Potential Ramifications of Raising the Glycemic Target. J Am Geri S. 2011 Dec;59(12): 2381-3</w:t>
      </w:r>
    </w:p>
    <w:p w14:paraId="0FA38A5D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Srikrishnan AK, Zelaya CE, Solomon S, Celentano DD, Sherman SG.* Measuring perceived stigma in female sex workers in Chennai, India.  AIDS Care. 2011 May;23(5):619-27</w:t>
      </w:r>
    </w:p>
    <w:p w14:paraId="0FFFDDEA" w14:textId="77777777" w:rsidR="00E12E38" w:rsidRPr="00E12E38" w:rsidRDefault="00E12E38" w:rsidP="00D61460">
      <w:pPr>
        <w:pStyle w:val="ListParagraph"/>
        <w:numPr>
          <w:ilvl w:val="0"/>
          <w:numId w:val="23"/>
        </w:numPr>
        <w:spacing w:before="240" w:after="240" w:line="240" w:lineRule="atLeast"/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</w:pP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 xml:space="preserve">Sherman SG, Srikrishnan AK, Rivett KA, </w:t>
      </w:r>
      <w:r w:rsidRPr="00E12E38">
        <w:rPr>
          <w:rFonts w:ascii="Helvetica Neue" w:hAnsi="Helvetica Neue" w:cs="Times New Roman"/>
          <w:b/>
          <w:bCs/>
          <w:color w:val="000000" w:themeColor="text1"/>
          <w:sz w:val="22"/>
          <w:szCs w:val="22"/>
          <w:u w:color="000000" w:themeColor="text1"/>
        </w:rPr>
        <w:t>Liu SH</w:t>
      </w:r>
      <w:r w:rsidRPr="00E12E38">
        <w:rPr>
          <w:rFonts w:ascii="Helvetica Neue" w:hAnsi="Helvetica Neue" w:cs="Times New Roman"/>
          <w:color w:val="000000" w:themeColor="text1"/>
          <w:sz w:val="22"/>
          <w:szCs w:val="22"/>
          <w:u w:color="000000" w:themeColor="text1"/>
        </w:rPr>
        <w:t>, Solomon S, Celentano DD.* Acceptability of a Microenterprise Intervention among Female Sex Workers in Chennai, India. AIDS Behav. 2010 Jun;14(3):649-657</w:t>
      </w:r>
    </w:p>
    <w:p w14:paraId="53CC90E1" w14:textId="1CDBA8F7" w:rsidR="00B77598" w:rsidRPr="00DD5894" w:rsidRDefault="00B77598" w:rsidP="00E65E4D">
      <w:pPr>
        <w:spacing w:line="276" w:lineRule="auto"/>
        <w:ind w:left="720"/>
        <w:rPr>
          <w:rFonts w:ascii="Helvetica Neue" w:hAnsi="Helvetica Neue"/>
          <w:sz w:val="21"/>
          <w:szCs w:val="21"/>
        </w:rPr>
      </w:pPr>
    </w:p>
    <w:sectPr w:rsidR="00B77598" w:rsidRPr="00DD5894" w:rsidSect="00DC349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8AE3" w14:textId="77777777" w:rsidR="00DC3490" w:rsidRDefault="00DC3490" w:rsidP="001C5E41">
      <w:r>
        <w:separator/>
      </w:r>
    </w:p>
  </w:endnote>
  <w:endnote w:type="continuationSeparator" w:id="0">
    <w:p w14:paraId="70BC695D" w14:textId="77777777" w:rsidR="00DC3490" w:rsidRDefault="00DC3490" w:rsidP="001C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auKai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8152395"/>
      <w:docPartObj>
        <w:docPartGallery w:val="Page Numbers (Bottom of Page)"/>
        <w:docPartUnique/>
      </w:docPartObj>
    </w:sdtPr>
    <w:sdtContent>
      <w:p w14:paraId="2CED6808" w14:textId="2774497E" w:rsidR="0056682D" w:rsidRDefault="0056682D" w:rsidP="00E1716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A8475F" w14:textId="77777777" w:rsidR="0056682D" w:rsidRDefault="0056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683777366"/>
      <w:docPartObj>
        <w:docPartGallery w:val="Page Numbers (Bottom of Page)"/>
        <w:docPartUnique/>
      </w:docPartObj>
    </w:sdtPr>
    <w:sdtContent>
      <w:p w14:paraId="4631EB54" w14:textId="13252E1E" w:rsidR="0056682D" w:rsidRPr="0056682D" w:rsidRDefault="0056682D" w:rsidP="00E17165">
        <w:pPr>
          <w:pStyle w:val="Footer"/>
          <w:framePr w:wrap="none" w:vAnchor="text" w:hAnchor="margin" w:xAlign="center" w:y="1"/>
          <w:rPr>
            <w:rStyle w:val="PageNumber"/>
            <w:sz w:val="20"/>
            <w:szCs w:val="20"/>
          </w:rPr>
        </w:pPr>
        <w:r w:rsidRPr="0056682D">
          <w:rPr>
            <w:rStyle w:val="PageNumber"/>
            <w:sz w:val="20"/>
            <w:szCs w:val="20"/>
          </w:rPr>
          <w:fldChar w:fldCharType="begin"/>
        </w:r>
        <w:r w:rsidRPr="0056682D">
          <w:rPr>
            <w:rStyle w:val="PageNumber"/>
            <w:sz w:val="20"/>
            <w:szCs w:val="20"/>
          </w:rPr>
          <w:instrText xml:space="preserve"> PAGE </w:instrText>
        </w:r>
        <w:r w:rsidRPr="0056682D">
          <w:rPr>
            <w:rStyle w:val="PageNumber"/>
            <w:sz w:val="20"/>
            <w:szCs w:val="20"/>
          </w:rPr>
          <w:fldChar w:fldCharType="separate"/>
        </w:r>
        <w:r w:rsidRPr="0056682D">
          <w:rPr>
            <w:rStyle w:val="PageNumber"/>
            <w:noProof/>
            <w:sz w:val="20"/>
            <w:szCs w:val="20"/>
          </w:rPr>
          <w:t>1</w:t>
        </w:r>
        <w:r w:rsidRPr="0056682D">
          <w:rPr>
            <w:rStyle w:val="PageNumber"/>
            <w:sz w:val="20"/>
            <w:szCs w:val="20"/>
          </w:rPr>
          <w:fldChar w:fldCharType="end"/>
        </w:r>
      </w:p>
    </w:sdtContent>
  </w:sdt>
  <w:p w14:paraId="3B1A00E9" w14:textId="77777777" w:rsidR="0056682D" w:rsidRDefault="0056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D9CF" w14:textId="77777777" w:rsidR="00DC3490" w:rsidRDefault="00DC3490" w:rsidP="001C5E41">
      <w:r>
        <w:separator/>
      </w:r>
    </w:p>
  </w:footnote>
  <w:footnote w:type="continuationSeparator" w:id="0">
    <w:p w14:paraId="10468CD8" w14:textId="77777777" w:rsidR="00DC3490" w:rsidRDefault="00DC3490" w:rsidP="001C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143148"/>
      <w:docPartObj>
        <w:docPartGallery w:val="Page Numbers (Top of Page)"/>
        <w:docPartUnique/>
      </w:docPartObj>
    </w:sdtPr>
    <w:sdtContent>
      <w:p w14:paraId="0D4CDFFE" w14:textId="1A173394" w:rsidR="001C5E41" w:rsidRDefault="001C5E41" w:rsidP="002B675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8FAECE" w14:textId="77777777" w:rsidR="001C5E41" w:rsidRDefault="001C5E41" w:rsidP="001C5E4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406449723"/>
      <w:docPartObj>
        <w:docPartGallery w:val="Page Numbers (Top of Page)"/>
        <w:docPartUnique/>
      </w:docPartObj>
    </w:sdtPr>
    <w:sdtContent>
      <w:p w14:paraId="3B3FD0EF" w14:textId="7AFFE263" w:rsidR="001C5E41" w:rsidRPr="001C5E41" w:rsidRDefault="001C5E41" w:rsidP="00211168">
        <w:pPr>
          <w:pStyle w:val="Header"/>
          <w:framePr w:wrap="none" w:vAnchor="text" w:hAnchor="page" w:x="10613" w:y="-20"/>
          <w:ind w:left="-709" w:firstLine="709"/>
          <w:rPr>
            <w:rStyle w:val="PageNumber"/>
            <w:sz w:val="20"/>
            <w:szCs w:val="20"/>
          </w:rPr>
        </w:pPr>
        <w:r w:rsidRPr="001C5E41">
          <w:rPr>
            <w:rStyle w:val="PageNumber"/>
            <w:sz w:val="20"/>
            <w:szCs w:val="20"/>
          </w:rPr>
          <w:fldChar w:fldCharType="begin"/>
        </w:r>
        <w:r w:rsidRPr="001C5E41">
          <w:rPr>
            <w:rStyle w:val="PageNumber"/>
            <w:sz w:val="20"/>
            <w:szCs w:val="20"/>
          </w:rPr>
          <w:instrText xml:space="preserve"> PAGE </w:instrText>
        </w:r>
        <w:r w:rsidRPr="001C5E41">
          <w:rPr>
            <w:rStyle w:val="PageNumber"/>
            <w:sz w:val="20"/>
            <w:szCs w:val="20"/>
          </w:rPr>
          <w:fldChar w:fldCharType="separate"/>
        </w:r>
        <w:r w:rsidRPr="001C5E41">
          <w:rPr>
            <w:rStyle w:val="PageNumber"/>
            <w:noProof/>
            <w:sz w:val="20"/>
            <w:szCs w:val="20"/>
          </w:rPr>
          <w:t>1</w:t>
        </w:r>
        <w:r w:rsidRPr="001C5E41">
          <w:rPr>
            <w:rStyle w:val="PageNumber"/>
            <w:sz w:val="20"/>
            <w:szCs w:val="20"/>
          </w:rPr>
          <w:fldChar w:fldCharType="end"/>
        </w:r>
      </w:p>
    </w:sdtContent>
  </w:sdt>
  <w:p w14:paraId="1A5320F1" w14:textId="4AD70413" w:rsidR="001C5E41" w:rsidRPr="001C5E41" w:rsidRDefault="001C5E41" w:rsidP="001C5E41">
    <w:pPr>
      <w:pStyle w:val="Header"/>
      <w:ind w:right="231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</w:t>
    </w:r>
    <w:r w:rsidR="00244D3D">
      <w:rPr>
        <w:sz w:val="20"/>
        <w:szCs w:val="20"/>
      </w:rPr>
      <w:t>01</w:t>
    </w:r>
    <w:r w:rsidRPr="001C5E41">
      <w:rPr>
        <w:sz w:val="20"/>
        <w:szCs w:val="20"/>
      </w:rPr>
      <w:t>-202</w:t>
    </w:r>
    <w:r w:rsidR="00244D3D">
      <w:rPr>
        <w:sz w:val="20"/>
        <w:szCs w:val="20"/>
      </w:rPr>
      <w:t>4</w:t>
    </w:r>
    <w:r w:rsidRPr="001C5E41">
      <w:rPr>
        <w:sz w:val="20"/>
        <w:szCs w:val="20"/>
      </w:rPr>
      <w:t xml:space="preserve"> 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8A0"/>
    <w:multiLevelType w:val="hybridMultilevel"/>
    <w:tmpl w:val="0DF4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D761E"/>
    <w:multiLevelType w:val="multilevel"/>
    <w:tmpl w:val="410C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3184E"/>
    <w:multiLevelType w:val="hybridMultilevel"/>
    <w:tmpl w:val="356CC8E2"/>
    <w:lvl w:ilvl="0" w:tplc="86108A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AA72805"/>
    <w:multiLevelType w:val="hybridMultilevel"/>
    <w:tmpl w:val="3F24CAE0"/>
    <w:lvl w:ilvl="0" w:tplc="B9D2358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D8F2AE6"/>
    <w:multiLevelType w:val="hybridMultilevel"/>
    <w:tmpl w:val="C60AE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184C"/>
    <w:multiLevelType w:val="hybridMultilevel"/>
    <w:tmpl w:val="813C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D1495"/>
    <w:multiLevelType w:val="hybridMultilevel"/>
    <w:tmpl w:val="AC72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4091F"/>
    <w:multiLevelType w:val="hybridMultilevel"/>
    <w:tmpl w:val="2A6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8030E"/>
    <w:multiLevelType w:val="hybridMultilevel"/>
    <w:tmpl w:val="5B02C3CE"/>
    <w:lvl w:ilvl="0" w:tplc="D4FC3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DB6"/>
    <w:multiLevelType w:val="hybridMultilevel"/>
    <w:tmpl w:val="B95E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4352B"/>
    <w:multiLevelType w:val="hybridMultilevel"/>
    <w:tmpl w:val="5E182AEE"/>
    <w:lvl w:ilvl="0" w:tplc="86EA57A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717FD"/>
    <w:multiLevelType w:val="hybridMultilevel"/>
    <w:tmpl w:val="C82C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75A5"/>
    <w:multiLevelType w:val="hybridMultilevel"/>
    <w:tmpl w:val="6A0603BE"/>
    <w:lvl w:ilvl="0" w:tplc="7C1E0C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5AEF"/>
    <w:multiLevelType w:val="hybridMultilevel"/>
    <w:tmpl w:val="BAEA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4C9"/>
    <w:multiLevelType w:val="multilevel"/>
    <w:tmpl w:val="89D8CC5A"/>
    <w:styleLink w:val="List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</w:rPr>
    </w:lvl>
  </w:abstractNum>
  <w:abstractNum w:abstractNumId="15" w15:restartNumberingAfterBreak="0">
    <w:nsid w:val="4C174C57"/>
    <w:multiLevelType w:val="hybridMultilevel"/>
    <w:tmpl w:val="DE6C794E"/>
    <w:lvl w:ilvl="0" w:tplc="8BEC7F72">
      <w:start w:val="155"/>
      <w:numFmt w:val="bullet"/>
      <w:lvlText w:val="-"/>
      <w:lvlJc w:val="left"/>
      <w:pPr>
        <w:ind w:left="720" w:hanging="360"/>
      </w:pPr>
      <w:rPr>
        <w:rFonts w:ascii="Century Gothic" w:eastAsia="PMingLiU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3E3D65"/>
    <w:multiLevelType w:val="multilevel"/>
    <w:tmpl w:val="F93E5474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</w:rPr>
    </w:lvl>
  </w:abstractNum>
  <w:abstractNum w:abstractNumId="17" w15:restartNumberingAfterBreak="0">
    <w:nsid w:val="54F27F02"/>
    <w:multiLevelType w:val="hybridMultilevel"/>
    <w:tmpl w:val="D54A1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5966"/>
    <w:multiLevelType w:val="hybridMultilevel"/>
    <w:tmpl w:val="CE0C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05B6"/>
    <w:multiLevelType w:val="hybridMultilevel"/>
    <w:tmpl w:val="C8BC6462"/>
    <w:lvl w:ilvl="0" w:tplc="63D8D8F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2E29"/>
    <w:multiLevelType w:val="multilevel"/>
    <w:tmpl w:val="41B8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66D9D"/>
    <w:multiLevelType w:val="hybridMultilevel"/>
    <w:tmpl w:val="F6C82336"/>
    <w:lvl w:ilvl="0" w:tplc="F516E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30F6E"/>
    <w:multiLevelType w:val="hybridMultilevel"/>
    <w:tmpl w:val="EBA0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459F6"/>
    <w:multiLevelType w:val="hybridMultilevel"/>
    <w:tmpl w:val="70CCBA2C"/>
    <w:lvl w:ilvl="0" w:tplc="893E76A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13035"/>
    <w:multiLevelType w:val="hybridMultilevel"/>
    <w:tmpl w:val="416E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642070">
    <w:abstractNumId w:val="24"/>
  </w:num>
  <w:num w:numId="2" w16cid:durableId="1579822522">
    <w:abstractNumId w:val="9"/>
  </w:num>
  <w:num w:numId="3" w16cid:durableId="444158931">
    <w:abstractNumId w:val="11"/>
  </w:num>
  <w:num w:numId="4" w16cid:durableId="1188985491">
    <w:abstractNumId w:val="15"/>
  </w:num>
  <w:num w:numId="5" w16cid:durableId="1285305704">
    <w:abstractNumId w:val="0"/>
  </w:num>
  <w:num w:numId="6" w16cid:durableId="2080863888">
    <w:abstractNumId w:val="16"/>
  </w:num>
  <w:num w:numId="7" w16cid:durableId="1665160603">
    <w:abstractNumId w:val="14"/>
  </w:num>
  <w:num w:numId="8" w16cid:durableId="184053216">
    <w:abstractNumId w:val="22"/>
  </w:num>
  <w:num w:numId="9" w16cid:durableId="1865242297">
    <w:abstractNumId w:val="17"/>
  </w:num>
  <w:num w:numId="10" w16cid:durableId="866286107">
    <w:abstractNumId w:val="6"/>
  </w:num>
  <w:num w:numId="11" w16cid:durableId="197591840">
    <w:abstractNumId w:val="20"/>
  </w:num>
  <w:num w:numId="12" w16cid:durableId="33623120">
    <w:abstractNumId w:val="1"/>
  </w:num>
  <w:num w:numId="13" w16cid:durableId="1649244428">
    <w:abstractNumId w:val="7"/>
  </w:num>
  <w:num w:numId="14" w16cid:durableId="1071849950">
    <w:abstractNumId w:val="5"/>
  </w:num>
  <w:num w:numId="15" w16cid:durableId="958607683">
    <w:abstractNumId w:val="8"/>
  </w:num>
  <w:num w:numId="16" w16cid:durableId="1615940785">
    <w:abstractNumId w:val="18"/>
  </w:num>
  <w:num w:numId="17" w16cid:durableId="2106068279">
    <w:abstractNumId w:val="4"/>
  </w:num>
  <w:num w:numId="18" w16cid:durableId="149953749">
    <w:abstractNumId w:val="13"/>
  </w:num>
  <w:num w:numId="19" w16cid:durableId="1908222801">
    <w:abstractNumId w:val="21"/>
  </w:num>
  <w:num w:numId="20" w16cid:durableId="2056419613">
    <w:abstractNumId w:val="10"/>
  </w:num>
  <w:num w:numId="21" w16cid:durableId="181093094">
    <w:abstractNumId w:val="12"/>
  </w:num>
  <w:num w:numId="22" w16cid:durableId="57746646">
    <w:abstractNumId w:val="19"/>
  </w:num>
  <w:num w:numId="23" w16cid:durableId="2091463341">
    <w:abstractNumId w:val="23"/>
  </w:num>
  <w:num w:numId="24" w16cid:durableId="1177496155">
    <w:abstractNumId w:val="3"/>
  </w:num>
  <w:num w:numId="25" w16cid:durableId="316420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F3"/>
    <w:rsid w:val="00010794"/>
    <w:rsid w:val="00026D73"/>
    <w:rsid w:val="0002745E"/>
    <w:rsid w:val="00035AC8"/>
    <w:rsid w:val="00053FD2"/>
    <w:rsid w:val="00062AA9"/>
    <w:rsid w:val="000636AA"/>
    <w:rsid w:val="00086528"/>
    <w:rsid w:val="000A1BE2"/>
    <w:rsid w:val="000A70A2"/>
    <w:rsid w:val="000E1BC7"/>
    <w:rsid w:val="000F22E9"/>
    <w:rsid w:val="00122F7F"/>
    <w:rsid w:val="00127E66"/>
    <w:rsid w:val="00131D9A"/>
    <w:rsid w:val="00134134"/>
    <w:rsid w:val="001415B0"/>
    <w:rsid w:val="001460EE"/>
    <w:rsid w:val="00153300"/>
    <w:rsid w:val="0016692E"/>
    <w:rsid w:val="0017371E"/>
    <w:rsid w:val="00174D08"/>
    <w:rsid w:val="001831D9"/>
    <w:rsid w:val="00197014"/>
    <w:rsid w:val="001A046E"/>
    <w:rsid w:val="001B68F1"/>
    <w:rsid w:val="001C59C5"/>
    <w:rsid w:val="001C5E41"/>
    <w:rsid w:val="001F5C8E"/>
    <w:rsid w:val="001F622B"/>
    <w:rsid w:val="00211168"/>
    <w:rsid w:val="002218E2"/>
    <w:rsid w:val="00227E89"/>
    <w:rsid w:val="00227F9B"/>
    <w:rsid w:val="00244D3D"/>
    <w:rsid w:val="00251D4C"/>
    <w:rsid w:val="002572E5"/>
    <w:rsid w:val="002611C6"/>
    <w:rsid w:val="00266DE1"/>
    <w:rsid w:val="00282415"/>
    <w:rsid w:val="00290DD9"/>
    <w:rsid w:val="00297B74"/>
    <w:rsid w:val="002A5CA4"/>
    <w:rsid w:val="002B57AA"/>
    <w:rsid w:val="002B59CC"/>
    <w:rsid w:val="002C6E12"/>
    <w:rsid w:val="002C7FCA"/>
    <w:rsid w:val="002D7DAE"/>
    <w:rsid w:val="002E269E"/>
    <w:rsid w:val="002E282B"/>
    <w:rsid w:val="002F5182"/>
    <w:rsid w:val="00303A25"/>
    <w:rsid w:val="00317E71"/>
    <w:rsid w:val="003227E7"/>
    <w:rsid w:val="00327C30"/>
    <w:rsid w:val="003430C7"/>
    <w:rsid w:val="00351ED8"/>
    <w:rsid w:val="003647D9"/>
    <w:rsid w:val="003669F4"/>
    <w:rsid w:val="003C1A52"/>
    <w:rsid w:val="003C2912"/>
    <w:rsid w:val="003C525E"/>
    <w:rsid w:val="003D0AE4"/>
    <w:rsid w:val="003D2348"/>
    <w:rsid w:val="003D37D2"/>
    <w:rsid w:val="003D4AE0"/>
    <w:rsid w:val="003D7981"/>
    <w:rsid w:val="003E1383"/>
    <w:rsid w:val="003E3ABA"/>
    <w:rsid w:val="003F4006"/>
    <w:rsid w:val="00405054"/>
    <w:rsid w:val="00413F4A"/>
    <w:rsid w:val="00416AD4"/>
    <w:rsid w:val="00420441"/>
    <w:rsid w:val="00433DCD"/>
    <w:rsid w:val="00434A7D"/>
    <w:rsid w:val="00441547"/>
    <w:rsid w:val="0044289F"/>
    <w:rsid w:val="004554F4"/>
    <w:rsid w:val="004649D7"/>
    <w:rsid w:val="00477555"/>
    <w:rsid w:val="004A4D81"/>
    <w:rsid w:val="004A6A23"/>
    <w:rsid w:val="004B254F"/>
    <w:rsid w:val="004B4234"/>
    <w:rsid w:val="004B79F2"/>
    <w:rsid w:val="004C6D9D"/>
    <w:rsid w:val="004D332E"/>
    <w:rsid w:val="00500576"/>
    <w:rsid w:val="00521850"/>
    <w:rsid w:val="005427D7"/>
    <w:rsid w:val="0056682D"/>
    <w:rsid w:val="00571704"/>
    <w:rsid w:val="00575EFF"/>
    <w:rsid w:val="00584478"/>
    <w:rsid w:val="005A36A1"/>
    <w:rsid w:val="005B6A81"/>
    <w:rsid w:val="005B7195"/>
    <w:rsid w:val="005B7DF0"/>
    <w:rsid w:val="005C6FAB"/>
    <w:rsid w:val="005D250B"/>
    <w:rsid w:val="005F4524"/>
    <w:rsid w:val="0060771C"/>
    <w:rsid w:val="006102C8"/>
    <w:rsid w:val="00612AB6"/>
    <w:rsid w:val="00613C65"/>
    <w:rsid w:val="0062409A"/>
    <w:rsid w:val="00627310"/>
    <w:rsid w:val="00654500"/>
    <w:rsid w:val="00655E7F"/>
    <w:rsid w:val="006662B3"/>
    <w:rsid w:val="00671E38"/>
    <w:rsid w:val="0067241D"/>
    <w:rsid w:val="00672AC9"/>
    <w:rsid w:val="00687BBF"/>
    <w:rsid w:val="00692016"/>
    <w:rsid w:val="006A0AAC"/>
    <w:rsid w:val="006A0B97"/>
    <w:rsid w:val="006B2EAA"/>
    <w:rsid w:val="006D2C22"/>
    <w:rsid w:val="006E0568"/>
    <w:rsid w:val="0071542A"/>
    <w:rsid w:val="0071787E"/>
    <w:rsid w:val="00724D44"/>
    <w:rsid w:val="00737B48"/>
    <w:rsid w:val="00742C72"/>
    <w:rsid w:val="00746E86"/>
    <w:rsid w:val="00747061"/>
    <w:rsid w:val="00747836"/>
    <w:rsid w:val="00791BCF"/>
    <w:rsid w:val="007B0BE7"/>
    <w:rsid w:val="007B1F45"/>
    <w:rsid w:val="007C2677"/>
    <w:rsid w:val="007C4338"/>
    <w:rsid w:val="007C7BD9"/>
    <w:rsid w:val="007E1636"/>
    <w:rsid w:val="007E3B20"/>
    <w:rsid w:val="00815242"/>
    <w:rsid w:val="00820A69"/>
    <w:rsid w:val="0082183F"/>
    <w:rsid w:val="00825D9A"/>
    <w:rsid w:val="00860E42"/>
    <w:rsid w:val="00861896"/>
    <w:rsid w:val="008666D1"/>
    <w:rsid w:val="00872082"/>
    <w:rsid w:val="00872B24"/>
    <w:rsid w:val="008A15DA"/>
    <w:rsid w:val="008A3E3D"/>
    <w:rsid w:val="008B3F7E"/>
    <w:rsid w:val="008B5D9E"/>
    <w:rsid w:val="008C1810"/>
    <w:rsid w:val="008C639B"/>
    <w:rsid w:val="008D6ACB"/>
    <w:rsid w:val="008E44E1"/>
    <w:rsid w:val="008F20B0"/>
    <w:rsid w:val="00912093"/>
    <w:rsid w:val="009205D1"/>
    <w:rsid w:val="009301D4"/>
    <w:rsid w:val="00953D11"/>
    <w:rsid w:val="0095651D"/>
    <w:rsid w:val="00973666"/>
    <w:rsid w:val="0098336D"/>
    <w:rsid w:val="009954AF"/>
    <w:rsid w:val="00996487"/>
    <w:rsid w:val="009A3175"/>
    <w:rsid w:val="009C008F"/>
    <w:rsid w:val="009D12EF"/>
    <w:rsid w:val="009D248B"/>
    <w:rsid w:val="009D6544"/>
    <w:rsid w:val="009E4686"/>
    <w:rsid w:val="009F6E04"/>
    <w:rsid w:val="00A0336C"/>
    <w:rsid w:val="00A1579C"/>
    <w:rsid w:val="00A160CB"/>
    <w:rsid w:val="00A2002B"/>
    <w:rsid w:val="00A20B6E"/>
    <w:rsid w:val="00A2714F"/>
    <w:rsid w:val="00A33262"/>
    <w:rsid w:val="00A50CC3"/>
    <w:rsid w:val="00A619D5"/>
    <w:rsid w:val="00A652E8"/>
    <w:rsid w:val="00A66E3C"/>
    <w:rsid w:val="00A82D12"/>
    <w:rsid w:val="00A956C2"/>
    <w:rsid w:val="00AA0F53"/>
    <w:rsid w:val="00AB39D7"/>
    <w:rsid w:val="00AC2E40"/>
    <w:rsid w:val="00AC513E"/>
    <w:rsid w:val="00AD67AA"/>
    <w:rsid w:val="00AD6B5F"/>
    <w:rsid w:val="00AE5CBB"/>
    <w:rsid w:val="00AF42A3"/>
    <w:rsid w:val="00B04549"/>
    <w:rsid w:val="00B07480"/>
    <w:rsid w:val="00B076C6"/>
    <w:rsid w:val="00B168D1"/>
    <w:rsid w:val="00B202E3"/>
    <w:rsid w:val="00B207B6"/>
    <w:rsid w:val="00B21D0B"/>
    <w:rsid w:val="00B33EC5"/>
    <w:rsid w:val="00B34E28"/>
    <w:rsid w:val="00B410A6"/>
    <w:rsid w:val="00B559A0"/>
    <w:rsid w:val="00B576AA"/>
    <w:rsid w:val="00B576B4"/>
    <w:rsid w:val="00B63F59"/>
    <w:rsid w:val="00B65DB1"/>
    <w:rsid w:val="00B661CE"/>
    <w:rsid w:val="00B77598"/>
    <w:rsid w:val="00B94F95"/>
    <w:rsid w:val="00BB7559"/>
    <w:rsid w:val="00BC3F50"/>
    <w:rsid w:val="00BE49DC"/>
    <w:rsid w:val="00BF0059"/>
    <w:rsid w:val="00BF02DB"/>
    <w:rsid w:val="00BF4020"/>
    <w:rsid w:val="00BF5E59"/>
    <w:rsid w:val="00C10753"/>
    <w:rsid w:val="00C146EB"/>
    <w:rsid w:val="00C21A80"/>
    <w:rsid w:val="00C274A4"/>
    <w:rsid w:val="00C44256"/>
    <w:rsid w:val="00C46A23"/>
    <w:rsid w:val="00C51488"/>
    <w:rsid w:val="00C53EE4"/>
    <w:rsid w:val="00C5540D"/>
    <w:rsid w:val="00C56736"/>
    <w:rsid w:val="00C64F98"/>
    <w:rsid w:val="00C7153D"/>
    <w:rsid w:val="00C77705"/>
    <w:rsid w:val="00CB1D35"/>
    <w:rsid w:val="00CD709F"/>
    <w:rsid w:val="00CE1EDF"/>
    <w:rsid w:val="00CE78BC"/>
    <w:rsid w:val="00CF6A80"/>
    <w:rsid w:val="00D0324C"/>
    <w:rsid w:val="00D07072"/>
    <w:rsid w:val="00D11E3F"/>
    <w:rsid w:val="00D220A5"/>
    <w:rsid w:val="00D22BD3"/>
    <w:rsid w:val="00D27F40"/>
    <w:rsid w:val="00D30DE8"/>
    <w:rsid w:val="00D41000"/>
    <w:rsid w:val="00D548E2"/>
    <w:rsid w:val="00D54C1E"/>
    <w:rsid w:val="00D557C9"/>
    <w:rsid w:val="00D61460"/>
    <w:rsid w:val="00D93F75"/>
    <w:rsid w:val="00DA5744"/>
    <w:rsid w:val="00DB2571"/>
    <w:rsid w:val="00DC3490"/>
    <w:rsid w:val="00DD1A70"/>
    <w:rsid w:val="00DD5894"/>
    <w:rsid w:val="00DE6D6B"/>
    <w:rsid w:val="00DF4375"/>
    <w:rsid w:val="00E03CF3"/>
    <w:rsid w:val="00E121BE"/>
    <w:rsid w:val="00E12E38"/>
    <w:rsid w:val="00E343D2"/>
    <w:rsid w:val="00E470B2"/>
    <w:rsid w:val="00E65E4D"/>
    <w:rsid w:val="00E742FC"/>
    <w:rsid w:val="00E77D7E"/>
    <w:rsid w:val="00E82529"/>
    <w:rsid w:val="00E86E0A"/>
    <w:rsid w:val="00E903F4"/>
    <w:rsid w:val="00E904FD"/>
    <w:rsid w:val="00EA6452"/>
    <w:rsid w:val="00EB2B74"/>
    <w:rsid w:val="00EB3009"/>
    <w:rsid w:val="00EB4F57"/>
    <w:rsid w:val="00EC2A33"/>
    <w:rsid w:val="00ED4079"/>
    <w:rsid w:val="00ED7C91"/>
    <w:rsid w:val="00EE459C"/>
    <w:rsid w:val="00EE6956"/>
    <w:rsid w:val="00EF3B27"/>
    <w:rsid w:val="00F06B1B"/>
    <w:rsid w:val="00F22087"/>
    <w:rsid w:val="00F243EF"/>
    <w:rsid w:val="00F319F9"/>
    <w:rsid w:val="00F32835"/>
    <w:rsid w:val="00F364FA"/>
    <w:rsid w:val="00F366C9"/>
    <w:rsid w:val="00F4188B"/>
    <w:rsid w:val="00F56F3D"/>
    <w:rsid w:val="00F73C1E"/>
    <w:rsid w:val="00F77A77"/>
    <w:rsid w:val="00F8536F"/>
    <w:rsid w:val="00F92BCF"/>
    <w:rsid w:val="00F96460"/>
    <w:rsid w:val="00FC03A1"/>
    <w:rsid w:val="00FC65A0"/>
    <w:rsid w:val="00FD075D"/>
    <w:rsid w:val="00FD14D4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B29E"/>
  <w15:chartTrackingRefBased/>
  <w15:docId w15:val="{CB93A13F-B662-594C-83A8-BA27F48E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BiauKai" w:hAnsi="Helvetica" w:cs="Times New Roman (Body CS)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2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2E8"/>
    <w:pPr>
      <w:ind w:left="720"/>
      <w:contextualSpacing/>
    </w:pPr>
  </w:style>
  <w:style w:type="numbering" w:customStyle="1" w:styleId="List0">
    <w:name w:val="List 0"/>
    <w:basedOn w:val="NoList"/>
    <w:rsid w:val="00AA0F53"/>
    <w:pPr>
      <w:numPr>
        <w:numId w:val="6"/>
      </w:numPr>
    </w:pPr>
  </w:style>
  <w:style w:type="numbering" w:customStyle="1" w:styleId="List1">
    <w:name w:val="List 1"/>
    <w:basedOn w:val="NoList"/>
    <w:rsid w:val="00AA0F53"/>
    <w:pPr>
      <w:numPr>
        <w:numId w:val="7"/>
      </w:numPr>
    </w:pPr>
  </w:style>
  <w:style w:type="paragraph" w:styleId="NormalWeb">
    <w:name w:val="Normal (Web)"/>
    <w:basedOn w:val="Normal"/>
    <w:uiPriority w:val="99"/>
    <w:semiHidden/>
    <w:unhideWhenUsed/>
    <w:rsid w:val="00E34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C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E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E41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C5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Liu, Suhsun</cp:lastModifiedBy>
  <cp:revision>19</cp:revision>
  <dcterms:created xsi:type="dcterms:W3CDTF">2023-12-22T20:10:00Z</dcterms:created>
  <dcterms:modified xsi:type="dcterms:W3CDTF">2023-12-27T16:36:00Z</dcterms:modified>
</cp:coreProperties>
</file>