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EDUCATION</w:t>
      </w:r>
    </w:p>
    <w:p w:rsidR="00000000" w:rsidDel="00000000" w:rsidP="00000000" w:rsidRDefault="00000000" w:rsidRPr="00000000">
      <w:pPr>
        <w:pBdr/>
        <w:ind w:firstLine="720"/>
        <w:contextualSpacing w:val="0"/>
        <w:rPr/>
      </w:pPr>
      <w:r w:rsidDel="00000000" w:rsidR="00000000" w:rsidRPr="00000000">
        <w:rPr>
          <w:rtl w:val="0"/>
        </w:rPr>
        <w:t xml:space="preserve">University of Colorado Denver, Department of Transplant Surgery</w:t>
      </w:r>
    </w:p>
    <w:p w:rsidR="00000000" w:rsidDel="00000000" w:rsidP="00000000" w:rsidRDefault="00000000" w:rsidRPr="00000000">
      <w:pPr>
        <w:pBdr/>
        <w:ind w:firstLine="720"/>
        <w:contextualSpacing w:val="0"/>
        <w:rPr/>
      </w:pPr>
      <w:r w:rsidDel="00000000" w:rsidR="00000000" w:rsidRPr="00000000">
        <w:rPr>
          <w:rtl w:val="0"/>
        </w:rPr>
        <w:t xml:space="preserve">Liver, Kidney, Pancreas Fellow, July 2015 thru June 2017</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University of Colorado Denver, Department of Surgery, Division of Urology</w:t>
      </w:r>
    </w:p>
    <w:p w:rsidR="00000000" w:rsidDel="00000000" w:rsidP="00000000" w:rsidRDefault="00000000" w:rsidRPr="00000000">
      <w:pPr>
        <w:pBdr/>
        <w:ind w:firstLine="720"/>
        <w:contextualSpacing w:val="0"/>
        <w:rPr/>
      </w:pPr>
      <w:r w:rsidDel="00000000" w:rsidR="00000000" w:rsidRPr="00000000">
        <w:rPr>
          <w:rtl w:val="0"/>
        </w:rPr>
        <w:t xml:space="preserve">Urology Residency, July 2011 thru June 2015</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University of Colorado Denver, Department of Surgery</w:t>
      </w:r>
    </w:p>
    <w:p w:rsidR="00000000" w:rsidDel="00000000" w:rsidP="00000000" w:rsidRDefault="00000000" w:rsidRPr="00000000">
      <w:pPr>
        <w:pBdr/>
        <w:ind w:firstLine="720"/>
        <w:contextualSpacing w:val="0"/>
        <w:rPr/>
      </w:pPr>
      <w:r w:rsidDel="00000000" w:rsidR="00000000" w:rsidRPr="00000000">
        <w:rPr>
          <w:rtl w:val="0"/>
        </w:rPr>
        <w:t xml:space="preserve">General Surgery Training, July 2009 thru June 2011</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University of Colorado Denver, School of Medicine</w:t>
      </w:r>
    </w:p>
    <w:p w:rsidR="00000000" w:rsidDel="00000000" w:rsidP="00000000" w:rsidRDefault="00000000" w:rsidRPr="00000000">
      <w:pPr>
        <w:pBdr/>
        <w:ind w:firstLine="720"/>
        <w:contextualSpacing w:val="0"/>
        <w:rPr/>
      </w:pPr>
      <w:r w:rsidDel="00000000" w:rsidR="00000000" w:rsidRPr="00000000">
        <w:rPr>
          <w:rtl w:val="0"/>
        </w:rPr>
        <w:t xml:space="preserve">Doctor of Medicine, May 2009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Illinois State University</w:t>
      </w:r>
    </w:p>
    <w:p w:rsidR="00000000" w:rsidDel="00000000" w:rsidP="00000000" w:rsidRDefault="00000000" w:rsidRPr="00000000">
      <w:pPr>
        <w:pBdr/>
        <w:contextualSpacing w:val="0"/>
        <w:rPr/>
      </w:pPr>
      <w:r w:rsidDel="00000000" w:rsidR="00000000" w:rsidRPr="00000000">
        <w:rPr>
          <w:rtl w:val="0"/>
        </w:rPr>
        <w:tab/>
        <w:t xml:space="preserve">Bachelor of Science, Mathematics, May 1999</w:t>
      </w:r>
    </w:p>
    <w:p w:rsidR="00000000" w:rsidDel="00000000" w:rsidP="00000000" w:rsidRDefault="00000000" w:rsidRPr="00000000">
      <w:pPr>
        <w:pBdr/>
        <w:ind w:firstLine="720"/>
        <w:contextualSpacing w:val="0"/>
        <w:rPr/>
      </w:pPr>
      <w:r w:rsidDel="00000000" w:rsidR="00000000" w:rsidRPr="00000000">
        <w:rPr>
          <w:rtl w:val="0"/>
        </w:rPr>
        <w:t xml:space="preserve">Bachelor of Science, Economics, May 1999</w:t>
      </w:r>
    </w:p>
    <w:p w:rsidR="00000000" w:rsidDel="00000000" w:rsidP="00000000" w:rsidRDefault="00000000" w:rsidRPr="00000000">
      <w:pPr>
        <w:pBdr/>
        <w:ind w:firstLine="720"/>
        <w:contextualSpacing w:val="0"/>
        <w:rPr>
          <w:color w:val="ff000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HONORS AND AWARDS</w:t>
      </w:r>
    </w:p>
    <w:p w:rsidR="00000000" w:rsidDel="00000000" w:rsidP="00000000" w:rsidRDefault="00000000" w:rsidRPr="00000000">
      <w:pPr>
        <w:numPr>
          <w:ilvl w:val="0"/>
          <w:numId w:val="1"/>
        </w:numPr>
        <w:pBdr/>
        <w:ind w:left="720" w:hanging="360"/>
        <w:rPr/>
      </w:pPr>
      <w:r w:rsidDel="00000000" w:rsidR="00000000" w:rsidRPr="00000000">
        <w:rPr>
          <w:rtl w:val="0"/>
        </w:rPr>
        <w:t xml:space="preserve">Andrew Novick Award Winner for Best Fellow Presentation From United States Transplant and Renal Surgery Society Meeting at American Urological Association Annual Meeting 2016</w:t>
      </w:r>
    </w:p>
    <w:p w:rsidR="00000000" w:rsidDel="00000000" w:rsidP="00000000" w:rsidRDefault="00000000" w:rsidRPr="00000000">
      <w:pPr>
        <w:numPr>
          <w:ilvl w:val="0"/>
          <w:numId w:val="1"/>
        </w:numPr>
        <w:pBdr/>
        <w:ind w:left="720" w:hanging="360"/>
        <w:rPr/>
      </w:pPr>
      <w:r w:rsidDel="00000000" w:rsidR="00000000" w:rsidRPr="00000000">
        <w:rPr>
          <w:rtl w:val="0"/>
        </w:rPr>
        <w:t xml:space="preserve">American Urological Association Annual Meeting Chief Resident Debate Winner 2015</w:t>
      </w:r>
    </w:p>
    <w:p w:rsidR="00000000" w:rsidDel="00000000" w:rsidP="00000000" w:rsidRDefault="00000000" w:rsidRPr="00000000">
      <w:pPr>
        <w:numPr>
          <w:ilvl w:val="0"/>
          <w:numId w:val="1"/>
        </w:numPr>
        <w:pBdr/>
        <w:ind w:left="720" w:hanging="360"/>
        <w:rPr/>
      </w:pPr>
      <w:r w:rsidDel="00000000" w:rsidR="00000000" w:rsidRPr="00000000">
        <w:rPr>
          <w:rtl w:val="0"/>
        </w:rPr>
        <w:t xml:space="preserve">South Central Section of the American Urological Association Resident Quiz Bowl Winner</w:t>
      </w:r>
    </w:p>
    <w:p w:rsidR="00000000" w:rsidDel="00000000" w:rsidP="00000000" w:rsidRDefault="00000000" w:rsidRPr="00000000">
      <w:pPr>
        <w:numPr>
          <w:ilvl w:val="0"/>
          <w:numId w:val="1"/>
        </w:numPr>
        <w:pBdr/>
        <w:ind w:left="720" w:hanging="360"/>
        <w:rPr/>
      </w:pPr>
      <w:r w:rsidDel="00000000" w:rsidR="00000000" w:rsidRPr="00000000">
        <w:rPr>
          <w:rtl w:val="0"/>
        </w:rPr>
        <w:t xml:space="preserve">University of Colorado, Division of Urology Resident Research Award, 2014</w:t>
      </w:r>
    </w:p>
    <w:p w:rsidR="00000000" w:rsidDel="00000000" w:rsidP="00000000" w:rsidRDefault="00000000" w:rsidRPr="00000000">
      <w:pPr>
        <w:numPr>
          <w:ilvl w:val="0"/>
          <w:numId w:val="1"/>
        </w:numPr>
        <w:pBdr/>
        <w:ind w:left="720" w:hanging="360"/>
        <w:rPr/>
      </w:pPr>
      <w:r w:rsidDel="00000000" w:rsidR="00000000" w:rsidRPr="00000000">
        <w:rPr>
          <w:rtl w:val="0"/>
        </w:rPr>
        <w:t xml:space="preserve">University of Colorado, Gold Humanism Award Recipient 2014</w:t>
      </w:r>
    </w:p>
    <w:p w:rsidR="00000000" w:rsidDel="00000000" w:rsidP="00000000" w:rsidRDefault="00000000" w:rsidRPr="00000000">
      <w:pPr>
        <w:numPr>
          <w:ilvl w:val="0"/>
          <w:numId w:val="1"/>
        </w:numPr>
        <w:pBdr/>
        <w:ind w:left="720" w:hanging="360"/>
        <w:rPr/>
      </w:pPr>
      <w:r w:rsidDel="00000000" w:rsidR="00000000" w:rsidRPr="00000000">
        <w:rPr>
          <w:rtl w:val="0"/>
        </w:rPr>
        <w:t xml:space="preserve">Outstanding Resident of the Month, Childrens Hospital Colorado, 2013</w:t>
      </w:r>
    </w:p>
    <w:p w:rsidR="00000000" w:rsidDel="00000000" w:rsidP="00000000" w:rsidRDefault="00000000" w:rsidRPr="00000000">
      <w:pPr>
        <w:numPr>
          <w:ilvl w:val="0"/>
          <w:numId w:val="1"/>
        </w:numPr>
        <w:pBdr/>
        <w:ind w:left="720" w:hanging="360"/>
        <w:rPr/>
      </w:pPr>
      <w:r w:rsidDel="00000000" w:rsidR="00000000" w:rsidRPr="00000000">
        <w:rPr>
          <w:rtl w:val="0"/>
        </w:rPr>
        <w:t xml:space="preserve">University of Colorado, Division of Urology Highest In-Service Score, 2013</w:t>
      </w:r>
    </w:p>
    <w:p w:rsidR="00000000" w:rsidDel="00000000" w:rsidP="00000000" w:rsidRDefault="00000000" w:rsidRPr="00000000">
      <w:pPr>
        <w:numPr>
          <w:ilvl w:val="0"/>
          <w:numId w:val="1"/>
        </w:numPr>
        <w:pBdr/>
        <w:ind w:left="720" w:hanging="360"/>
        <w:rPr/>
      </w:pPr>
      <w:r w:rsidDel="00000000" w:rsidR="00000000" w:rsidRPr="00000000">
        <w:rPr>
          <w:rtl w:val="0"/>
        </w:rPr>
        <w:t xml:space="preserve">University of Colorado, Division of Urology Quality Improvement Award, 2012</w:t>
      </w:r>
    </w:p>
    <w:p w:rsidR="00000000" w:rsidDel="00000000" w:rsidP="00000000" w:rsidRDefault="00000000" w:rsidRPr="00000000">
      <w:pPr>
        <w:numPr>
          <w:ilvl w:val="0"/>
          <w:numId w:val="1"/>
        </w:numPr>
        <w:pBdr/>
        <w:ind w:left="720" w:hanging="360"/>
        <w:rPr/>
      </w:pPr>
      <w:r w:rsidDel="00000000" w:rsidR="00000000" w:rsidRPr="00000000">
        <w:rPr>
          <w:rtl w:val="0"/>
        </w:rPr>
        <w:t xml:space="preserve">University of Colorado, Department of Surgery Surgical Intern of the Year, 2009</w:t>
      </w:r>
    </w:p>
    <w:p w:rsidR="00000000" w:rsidDel="00000000" w:rsidP="00000000" w:rsidRDefault="00000000" w:rsidRPr="00000000">
      <w:pPr>
        <w:numPr>
          <w:ilvl w:val="0"/>
          <w:numId w:val="1"/>
        </w:numPr>
        <w:pBdr/>
        <w:ind w:left="720" w:hanging="360"/>
        <w:rPr/>
      </w:pPr>
      <w:r w:rsidDel="00000000" w:rsidR="00000000" w:rsidRPr="00000000">
        <w:rPr>
          <w:rtl w:val="0"/>
        </w:rPr>
        <w:t xml:space="preserve">ARCS scholar recipient, 2008</w:t>
      </w:r>
    </w:p>
    <w:p w:rsidR="00000000" w:rsidDel="00000000" w:rsidP="00000000" w:rsidRDefault="00000000" w:rsidRPr="00000000">
      <w:pPr>
        <w:numPr>
          <w:ilvl w:val="0"/>
          <w:numId w:val="1"/>
        </w:numPr>
        <w:pBdr/>
        <w:ind w:left="720" w:hanging="360"/>
        <w:rPr/>
      </w:pPr>
      <w:r w:rsidDel="00000000" w:rsidR="00000000" w:rsidRPr="00000000">
        <w:rPr>
          <w:rtl w:val="0"/>
        </w:rPr>
        <w:t xml:space="preserve">Sub-specialty research award winner at the Western Student Medical Research Forum in Carmel, California, January 2007</w:t>
      </w:r>
    </w:p>
    <w:p w:rsidR="00000000" w:rsidDel="00000000" w:rsidP="00000000" w:rsidRDefault="00000000" w:rsidRPr="00000000">
      <w:pPr>
        <w:numPr>
          <w:ilvl w:val="0"/>
          <w:numId w:val="1"/>
        </w:numPr>
        <w:pBdr/>
        <w:ind w:left="720" w:hanging="360"/>
        <w:rPr/>
      </w:pPr>
      <w:r w:rsidDel="00000000" w:rsidR="00000000" w:rsidRPr="00000000">
        <w:rPr>
          <w:rtl w:val="0"/>
        </w:rPr>
        <w:t xml:space="preserve">University of Colorado medical school academic excellence, 2006-2007</w:t>
      </w:r>
    </w:p>
    <w:p w:rsidR="00000000" w:rsidDel="00000000" w:rsidP="00000000" w:rsidRDefault="00000000" w:rsidRPr="00000000">
      <w:pPr>
        <w:numPr>
          <w:ilvl w:val="0"/>
          <w:numId w:val="1"/>
        </w:numPr>
        <w:pBdr/>
        <w:ind w:left="720" w:hanging="360"/>
        <w:rPr/>
      </w:pPr>
      <w:r w:rsidDel="00000000" w:rsidR="00000000" w:rsidRPr="00000000">
        <w:rPr>
          <w:rtl w:val="0"/>
        </w:rPr>
        <w:t xml:space="preserve">Illinois State University Economics Student of the Year, 1998-1999</w:t>
      </w:r>
    </w:p>
    <w:p w:rsidR="00000000" w:rsidDel="00000000" w:rsidP="00000000" w:rsidRDefault="00000000" w:rsidRPr="00000000">
      <w:pPr>
        <w:numPr>
          <w:ilvl w:val="0"/>
          <w:numId w:val="1"/>
        </w:numPr>
        <w:pBdr/>
        <w:ind w:left="720" w:hanging="360"/>
        <w:rPr/>
      </w:pPr>
      <w:r w:rsidDel="00000000" w:rsidR="00000000" w:rsidRPr="00000000">
        <w:rPr>
          <w:rtl w:val="0"/>
        </w:rPr>
        <w:t xml:space="preserve">Illinois State University Future Alumni Leader Award, 1999</w:t>
      </w:r>
    </w:p>
    <w:p w:rsidR="00000000" w:rsidDel="00000000" w:rsidP="00000000" w:rsidRDefault="00000000" w:rsidRPr="00000000">
      <w:pPr>
        <w:numPr>
          <w:ilvl w:val="0"/>
          <w:numId w:val="1"/>
        </w:numPr>
        <w:pBdr/>
        <w:ind w:left="720" w:hanging="360"/>
        <w:rPr/>
      </w:pPr>
      <w:r w:rsidDel="00000000" w:rsidR="00000000" w:rsidRPr="00000000">
        <w:rPr>
          <w:rtl w:val="0"/>
        </w:rPr>
        <w:t xml:space="preserve">Illinois State University Dean’s List 1995-1999</w:t>
      </w:r>
    </w:p>
    <w:p w:rsidR="00000000" w:rsidDel="00000000" w:rsidP="00000000" w:rsidRDefault="00000000" w:rsidRPr="00000000">
      <w:pPr>
        <w:pBd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RESEARCH PUBLICATIONS</w:t>
      </w:r>
      <w:r w:rsidDel="00000000" w:rsidR="00000000" w:rsidRPr="00000000">
        <w:rPr>
          <w:rtl w:val="0"/>
        </w:rPr>
        <w:t xml:space="preserve"> </w:t>
      </w:r>
    </w:p>
    <w:p w:rsidR="00000000" w:rsidDel="00000000" w:rsidP="00000000" w:rsidRDefault="00000000" w:rsidRPr="00000000">
      <w:pPr>
        <w:pBdr/>
        <w:ind w:left="720" w:firstLine="0"/>
        <w:contextualSpacing w:val="0"/>
        <w:rPr/>
      </w:pPr>
      <w:r w:rsidDel="00000000" w:rsidR="00000000" w:rsidRPr="00000000">
        <w:rPr>
          <w:b w:val="1"/>
          <w:rtl w:val="0"/>
        </w:rPr>
        <w:t xml:space="preserve">Pshak T</w:t>
      </w:r>
      <w:r w:rsidDel="00000000" w:rsidR="00000000" w:rsidRPr="00000000">
        <w:rPr>
          <w:rtl w:val="0"/>
        </w:rPr>
        <w:t xml:space="preserve">, Adams A, Lawsen P, Moore H, Pshak T. Fibrinolytic Shutdown in Deceased Donors: A Potential Area to Improve Organ Function and Usability? Am J Transplant. January 2017; Vol.17 (S2) DOI: 10.1111/ajt.14155</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 </w:t>
      </w:r>
      <w:r w:rsidDel="00000000" w:rsidR="00000000" w:rsidRPr="00000000">
        <w:rPr>
          <w:rtl w:val="0"/>
        </w:rPr>
        <w:t xml:space="preserve">Roach J, Karrer F, Wachs M. Portal Venous Flow Volume Measurements May Aid Intraoperative Management of Large Portosystemic Shunts During Pediatric Liver Transplantation. Am J Transplant. June 2016; Vol.16 (S3) DOI: 10.1111/ajt.13898</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Cho DS, Hayes KL, Vemulakonda VM. Correlation between CT-estimated tumor volume, pathologic tumor volume, and final pathologic specimen weight in children with Wilms' tumor. Journal of Pediatric Urology. Vol.10 (1), Feb 2014 PMID: 24035637</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MD; Nikolavsky D, Terlecki R, Flynn BJ. Is Tissue Interposition Always Necessary In Transvaginal Repair of Benign, Recurrent Vesiscovaginal Fistulae? Urology. Vol.82 (3):707-12. Sep 2013 PMID: 23830081</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Meacham RB. Autonomic Dysreflexia Among Men with Spinal Cord Injury Undergoing Penile Vibratory Stimulation. J Andrology, Vol.28 (6), Dec 2007. PMID: 17634515</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Koul H, et. al. Oxalate-Induced Changes in Gene Expression In Human Renal Epithelial Cells: Identification Of Genes Induced By Oxalate. Journal of Investigative Medicine, Vol.55 (1), #22, Jan 2007.</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Koul S, Khandrika L, </w:t>
      </w:r>
      <w:r w:rsidDel="00000000" w:rsidR="00000000" w:rsidRPr="00000000">
        <w:rPr>
          <w:b w:val="1"/>
          <w:rtl w:val="0"/>
        </w:rPr>
        <w:t xml:space="preserve">Pshak TJ</w:t>
      </w:r>
      <w:r w:rsidDel="00000000" w:rsidR="00000000" w:rsidRPr="00000000">
        <w:rPr>
          <w:rtl w:val="0"/>
        </w:rPr>
        <w:t xml:space="preserve">, et. al. Oxalate up-regulates expression of IL-2Rβ and activates IL-2R signaling in HK-2 cells, a line of human renal epithelial cells. Am J Physiol Renal Physiol. 2014 Feb 12. PMID: 24523387</w:t>
      </w:r>
      <w:r w:rsidDel="00000000" w:rsidR="00000000" w:rsidRPr="00000000">
        <w:rPr>
          <w:rFonts w:ascii="Arial" w:cs="Arial" w:eastAsia="Arial" w:hAnsi="Arial"/>
          <w:color w:val="575757"/>
          <w:sz w:val="18"/>
          <w:szCs w:val="18"/>
          <w:highlight w:val="white"/>
          <w:rtl w:val="0"/>
        </w:rPr>
        <w:t xml:space="preserve"> </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Wohlauer MV, Rove KO, </w:t>
      </w:r>
      <w:r w:rsidDel="00000000" w:rsidR="00000000" w:rsidRPr="00000000">
        <w:rPr>
          <w:b w:val="1"/>
          <w:rtl w:val="0"/>
        </w:rPr>
        <w:t xml:space="preserve">Pshak TJ</w:t>
      </w:r>
      <w:r w:rsidDel="00000000" w:rsidR="00000000" w:rsidRPr="00000000">
        <w:rPr>
          <w:rtl w:val="0"/>
        </w:rPr>
        <w:t xml:space="preserve">, et. al. The Computerized Rounding Report: Implementation of a Model System to Support Transitions of Care. J of Surgical Research, Vol 172, April 2011 PMID: 21777923</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RESEARCH PRESENTATIONS</w:t>
      </w:r>
    </w:p>
    <w:p w:rsidR="00000000" w:rsidDel="00000000" w:rsidP="00000000" w:rsidRDefault="00000000" w:rsidRPr="00000000">
      <w:pPr>
        <w:pBdr/>
        <w:ind w:left="720" w:firstLine="0"/>
        <w:contextualSpacing w:val="0"/>
        <w:rPr/>
      </w:pPr>
      <w:r w:rsidDel="00000000" w:rsidR="00000000" w:rsidRPr="00000000">
        <w:rPr>
          <w:b w:val="1"/>
          <w:rtl w:val="0"/>
        </w:rPr>
        <w:t xml:space="preserve">Pshak T</w:t>
      </w:r>
      <w:r w:rsidDel="00000000" w:rsidR="00000000" w:rsidRPr="00000000">
        <w:rPr>
          <w:rtl w:val="0"/>
        </w:rPr>
        <w:t xml:space="preserve">, Adams A, Lawsen P, Moore H, Pshak T. Fibrinolytic Shutdown in Deceased Donors: A Potential Area to Improve Organ Function and Usability? Controversies in Transplantation, Young Investigators Forum. Breckenridge, CO. March 2017</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w:t>
      </w:r>
      <w:r w:rsidDel="00000000" w:rsidR="00000000" w:rsidRPr="00000000">
        <w:rPr>
          <w:rtl w:val="0"/>
        </w:rPr>
        <w:t xml:space="preserve">, Adams A, Lawsen P, Moore H, Pshak T. Fibrinolytic Shutdown in Deceased Donors: A Potential Area to Improve Organ Function and Usability? ASTS State of the Art Winter Symposium. Miami, FL. January 2017</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 </w:t>
      </w:r>
      <w:r w:rsidDel="00000000" w:rsidR="00000000" w:rsidRPr="00000000">
        <w:rPr>
          <w:rtl w:val="0"/>
        </w:rPr>
        <w:t xml:space="preserve">Roach J, Karrer F, Wachs M. Portal Venous Flow Volume Measurements May Aid Intraoperative Management of Large Portosystemic Shunts During Pediatric Liver Transplantation. American Transplant Congress. Boston, MA. June 2016</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Transurethral Ultrasonic Ureteral Lithotripsy: Initial Report. Stones/Infection Podium, #44.  93rd Annual Meeting of the South Central Section of the American Urological Association. Rancho Mirage, CA. October 2014.</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Pohlman G, Moulton S, Wilcox D. Pediatric Blunt Renal Trauma: Is It Time To Abandon The Use Of Delayed Imaging During Initial Workup? Podium presentation at South Central Section of American Urological Association annual meeting 2013.</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A Contemporary View Of Urologic Dogmas. Guest speaker podium presentation at the Perspectives In Urology Point, Counterpoint Meeting. Scotsdale, AZ 2012</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Nikolavsky D, Flynn B. Transvaginal Repair of Primary vs Recurrent Vesicovaginal Fistula: Is There A Difference In Outcome? Podium presentation at South Central Section of American Urological Association annual meeting 2012.</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Patel N, O'Donnel C, Arangua P, Jones C, Rove K, Crawford ED. 3T MRI of the Prostate Correlation To 3D Reconstruction Of Transperineal Mapping Biopsies In The Evaluation Of Prostate Cancer. Podium presentation at South Central Section of American Urological Association annual meeting 2012.</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Pshak TJ</w:t>
      </w:r>
      <w:r w:rsidDel="00000000" w:rsidR="00000000" w:rsidRPr="00000000">
        <w:rPr>
          <w:rtl w:val="0"/>
        </w:rPr>
        <w:t xml:space="preserve">, Carlsen S, Flynn BJ. Surgical Video: Total Pelvic Floor Reconstruction Utilizing Prolift</w:t>
      </w:r>
      <w:r w:rsidDel="00000000" w:rsidR="00000000" w:rsidRPr="00000000">
        <w:rPr>
          <w:vertAlign w:val="superscript"/>
          <w:rtl w:val="0"/>
        </w:rPr>
        <w:t xml:space="preserve">®</w:t>
      </w:r>
      <w:r w:rsidDel="00000000" w:rsidR="00000000" w:rsidRPr="00000000">
        <w:rPr>
          <w:rtl w:val="0"/>
        </w:rPr>
        <w:t xml:space="preserve">, A Polypropylene Mesh Reinforced Pelvic Floor Repair and Vaginal Vault Suspension. Surgical video presented at the South Central Section of American Urological Association annual meeting in 2007 and Annual American Urological Association meeting in 2008.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Choledochoduodenostomy Is A Safe And Efficient Alternative For Bile Duct Reconstruction During Liver Transplant. Trevor Nydam, </w:t>
      </w:r>
      <w:r w:rsidDel="00000000" w:rsidR="00000000" w:rsidRPr="00000000">
        <w:rPr>
          <w:b w:val="1"/>
          <w:rtl w:val="0"/>
        </w:rPr>
        <w:t xml:space="preserve">Pshak TJ</w:t>
      </w:r>
      <w:r w:rsidDel="00000000" w:rsidR="00000000" w:rsidRPr="00000000">
        <w:rPr>
          <w:rtl w:val="0"/>
        </w:rPr>
        <w:t xml:space="preserve">, Michael Wachs, Thomas Bak, Igal Kam. 15th Annual State of the Art Transplant Winter Symposium.  Miami, FL. January 2015.</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Koul S, Bhat S, </w:t>
      </w:r>
      <w:r w:rsidDel="00000000" w:rsidR="00000000" w:rsidRPr="00000000">
        <w:rPr>
          <w:b w:val="1"/>
          <w:rtl w:val="0"/>
        </w:rPr>
        <w:t xml:space="preserve">Pshak TJ</w:t>
      </w:r>
      <w:r w:rsidDel="00000000" w:rsidR="00000000" w:rsidRPr="00000000">
        <w:rPr>
          <w:rtl w:val="0"/>
        </w:rPr>
        <w:t xml:space="preserve">, Khandrika L, Kim F, Meacham R, Koul H. Oxalate-induced changes in gene expression in human renal epithelial cells: Identification of KOxIG, a novel oxalate regulated gene. Research presented at Annual American Urological Association meeting in May, 2008.</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Dall’Era J, </w:t>
      </w:r>
      <w:r w:rsidDel="00000000" w:rsidR="00000000" w:rsidRPr="00000000">
        <w:rPr>
          <w:b w:val="1"/>
          <w:rtl w:val="0"/>
        </w:rPr>
        <w:t xml:space="preserve">Pshak TJ</w:t>
      </w:r>
      <w:r w:rsidDel="00000000" w:rsidR="00000000" w:rsidRPr="00000000">
        <w:rPr>
          <w:rtl w:val="0"/>
        </w:rPr>
        <w:t xml:space="preserve">, Flynn BJ. Management of Recurrent Vaginal Wall and Urinary Tract Polypropylene Mesh Erosion After Midurethral Tape: Complete Mesh Explanation and Concomitant Pubovaginal Sling With Autologous Rectus Fascia. Research presented at the South Central Section of American Urological Association in September, 2007.</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sectPr>
      <w:headerReference r:id="rId5" w:type="default"/>
      <w:headerReference r:id="rId6" w:type="firs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5060"/>
      </w:tabs>
      <w:spacing w:after="0" w:before="720" w:line="240" w:lineRule="auto"/>
      <w:ind w:left="0" w:right="0" w:firstLine="0"/>
      <w:contextualSpacing w:val="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tabs>
        <w:tab w:val="left" w:pos="5060"/>
      </w:tabs>
      <w:spacing w:after="0" w:before="720" w:line="240" w:lineRule="auto"/>
      <w:ind w:left="0" w:right="0" w:firstLine="0"/>
      <w:contextualSpacing w:val="0"/>
      <w:jc w:val="righ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tabs>
        <w:tab w:val="left" w:pos="50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tabs>
        <w:tab w:val="left" w:pos="5060"/>
      </w:tabs>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Thomas J. Pshak, MD</w:t>
    </w:r>
  </w: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tabs>
        <w:tab w:val="left" w:pos="5060"/>
      </w:tabs>
      <w:spacing w:after="0" w:before="0" w:line="240" w:lineRule="auto"/>
      <w:ind w:left="0" w:right="0" w:firstLine="0"/>
      <w:contextualSpacing w:val="0"/>
      <w:jc w:val="right"/>
      <w:rPr>
        <w:b w:val="1"/>
        <w:sz w:val="28"/>
        <w:szCs w:val="28"/>
      </w:rPr>
    </w:pPr>
    <w:r w:rsidDel="00000000" w:rsidR="00000000" w:rsidRPr="00000000">
      <w:rPr>
        <w:b w:val="1"/>
        <w:sz w:val="28"/>
        <w:szCs w:val="28"/>
        <w:rtl w:val="0"/>
      </w:rPr>
      <w:t xml:space="preserve">Department of Surgery</w:t>
    </w:r>
  </w: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tabs>
        <w:tab w:val="left" w:pos="5060"/>
      </w:tabs>
      <w:spacing w:after="0" w:before="0" w:line="240" w:lineRule="auto"/>
      <w:ind w:left="0" w:right="0" w:firstLine="0"/>
      <w:contextualSpacing w:val="0"/>
      <w:jc w:val="right"/>
      <w:rPr>
        <w:b w:val="1"/>
        <w:sz w:val="28"/>
        <w:szCs w:val="28"/>
      </w:rPr>
    </w:pPr>
    <w:r w:rsidDel="00000000" w:rsidR="00000000" w:rsidRPr="00000000">
      <w:rPr>
        <w:b w:val="1"/>
        <w:sz w:val="28"/>
        <w:szCs w:val="28"/>
        <w:rtl w:val="0"/>
      </w:rPr>
      <w:t xml:space="preserve">Division of Transplant Surgery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